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E1C7" w14:textId="77777777" w:rsidR="00945980" w:rsidRDefault="00945980" w:rsidP="00945980">
      <w:pPr>
        <w:spacing w:after="0"/>
        <w:jc w:val="right"/>
      </w:pPr>
      <w:r>
        <w:rPr>
          <w:noProof/>
        </w:rPr>
        <mc:AlternateContent>
          <mc:Choice Requires="wpg">
            <w:drawing>
              <wp:anchor distT="0" distB="0" distL="114300" distR="114300" simplePos="0" relativeHeight="251659264" behindDoc="0" locked="0" layoutInCell="1" hidden="0" allowOverlap="1" wp14:anchorId="2F36DE65" wp14:editId="3B0B2B59">
                <wp:simplePos x="0" y="0"/>
                <wp:positionH relativeFrom="column">
                  <wp:posOffset>4314825</wp:posOffset>
                </wp:positionH>
                <wp:positionV relativeFrom="paragraph">
                  <wp:posOffset>-581025</wp:posOffset>
                </wp:positionV>
                <wp:extent cx="2175759" cy="495300"/>
                <wp:effectExtent l="0" t="0" r="0" b="0"/>
                <wp:wrapNone/>
                <wp:docPr id="11" name="Group 11"/>
                <wp:cNvGraphicFramePr/>
                <a:graphic xmlns:a="http://schemas.openxmlformats.org/drawingml/2006/main">
                  <a:graphicData uri="http://schemas.microsoft.com/office/word/2010/wordprocessingGroup">
                    <wpg:wgp>
                      <wpg:cNvGrpSpPr/>
                      <wpg:grpSpPr>
                        <a:xfrm>
                          <a:off x="0" y="0"/>
                          <a:ext cx="2175759" cy="495300"/>
                          <a:chOff x="4258117" y="3569058"/>
                          <a:chExt cx="2175759" cy="495300"/>
                        </a:xfrm>
                      </wpg:grpSpPr>
                      <wpg:grpSp>
                        <wpg:cNvPr id="1" name="Group 1"/>
                        <wpg:cNvGrpSpPr/>
                        <wpg:grpSpPr>
                          <a:xfrm>
                            <a:off x="4258117" y="3569058"/>
                            <a:ext cx="2175759" cy="495300"/>
                            <a:chOff x="33252" y="0"/>
                            <a:chExt cx="3030350" cy="715681"/>
                          </a:xfrm>
                        </wpg:grpSpPr>
                        <wps:wsp>
                          <wps:cNvPr id="2" name="Rectangle 2"/>
                          <wps:cNvSpPr/>
                          <wps:spPr>
                            <a:xfrm>
                              <a:off x="33252" y="0"/>
                              <a:ext cx="3030350" cy="609600"/>
                            </a:xfrm>
                            <a:prstGeom prst="rect">
                              <a:avLst/>
                            </a:prstGeom>
                            <a:noFill/>
                            <a:ln>
                              <a:noFill/>
                            </a:ln>
                          </wps:spPr>
                          <wps:txbx>
                            <w:txbxContent>
                              <w:p w14:paraId="17D96672" w14:textId="77777777" w:rsidR="00945980" w:rsidRDefault="00945980" w:rsidP="00945980">
                                <w:pPr>
                                  <w:spacing w:after="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AFCERC Logo"/>
                            <pic:cNvPicPr preferRelativeResize="0"/>
                          </pic:nvPicPr>
                          <pic:blipFill rotWithShape="1">
                            <a:blip r:embed="rId7">
                              <a:alphaModFix/>
                            </a:blip>
                            <a:srcRect/>
                            <a:stretch/>
                          </pic:blipFill>
                          <pic:spPr>
                            <a:xfrm>
                              <a:off x="33252" y="38100"/>
                              <a:ext cx="609600" cy="533400"/>
                            </a:xfrm>
                            <a:prstGeom prst="rect">
                              <a:avLst/>
                            </a:prstGeom>
                            <a:noFill/>
                            <a:ln>
                              <a:noFill/>
                            </a:ln>
                          </pic:spPr>
                        </pic:pic>
                        <wps:wsp>
                          <wps:cNvPr id="3" name="Rectangle 3"/>
                          <wps:cNvSpPr/>
                          <wps:spPr>
                            <a:xfrm>
                              <a:off x="563211" y="0"/>
                              <a:ext cx="2500338" cy="715681"/>
                            </a:xfrm>
                            <a:prstGeom prst="rect">
                              <a:avLst/>
                            </a:prstGeom>
                            <a:noFill/>
                            <a:ln>
                              <a:noFill/>
                            </a:ln>
                          </wps:spPr>
                          <wps:txbx>
                            <w:txbxContent>
                              <w:p w14:paraId="388C8E03" w14:textId="77777777" w:rsidR="00945980" w:rsidRDefault="00945980" w:rsidP="00945980">
                                <w:pPr>
                                  <w:spacing w:after="0"/>
                                  <w:textDirection w:val="btLr"/>
                                </w:pPr>
                                <w:r>
                                  <w:rPr>
                                    <w:rFonts w:ascii="Franklin Gothic" w:eastAsia="Franklin Gothic" w:hAnsi="Franklin Gothic" w:cs="Franklin Gothic"/>
                                    <w:b/>
                                    <w:color w:val="000000"/>
                                    <w:sz w:val="16"/>
                                  </w:rPr>
                                  <w:t>Agribusiness, Food, and Consumer Economics Research Center</w:t>
                                </w:r>
                              </w:p>
                              <w:p w14:paraId="0330E448" w14:textId="77777777" w:rsidR="00945980" w:rsidRDefault="00945980" w:rsidP="00945980">
                                <w:pPr>
                                  <w:spacing w:after="0"/>
                                  <w:textDirection w:val="btLr"/>
                                </w:pPr>
                                <w:r>
                                  <w:rPr>
                                    <w:rFonts w:ascii="Arial Narrow" w:eastAsia="Arial Narrow" w:hAnsi="Arial Narrow" w:cs="Arial Narrow"/>
                                    <w:b/>
                                    <w:i/>
                                    <w:color w:val="000000"/>
                                    <w:sz w:val="16"/>
                                  </w:rPr>
                                  <w:t xml:space="preserve">at Texas A&amp;M University </w:t>
                                </w: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w14:anchorId="2F36DE65" id="Group 11" o:spid="_x0000_s1026" style="position:absolute;left:0;text-align:left;margin-left:339.75pt;margin-top:-45.75pt;width:171.3pt;height:39pt;z-index:251659264;mso-height-relative:margin" coordorigin="42581,35690" coordsize="21757,4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">
                <v:group id="Group 1" o:spid="_x0000_s1027" style="position:absolute;left:42581;top:35690;width:21757;height:4953" coordorigin="332" coordsize="30303,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32;width:3030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7D96672" w14:textId="77777777" w:rsidR="00945980" w:rsidRDefault="00945980" w:rsidP="00945980">
                          <w:pPr>
                            <w:spacing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alt="AFCERC Logo" style="position:absolute;left:332;top:381;width:6096;height:5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">
                    <v:imagedata r:id="rId8" o:title="AFCERC Logo"/>
                  </v:shape>
                  <v:rect id="Rectangle 3" o:spid="_x0000_s1030" style="position:absolute;left:5632;width:25003;height:7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388C8E03" w14:textId="77777777" w:rsidR="00945980" w:rsidRDefault="00945980" w:rsidP="00945980">
                          <w:pPr>
                            <w:spacing w:after="0"/>
                            <w:textDirection w:val="btLr"/>
                          </w:pPr>
                          <w:r>
                            <w:rPr>
                              <w:rFonts w:ascii="Franklin Gothic" w:eastAsia="Franklin Gothic" w:hAnsi="Franklin Gothic" w:cs="Franklin Gothic"/>
                              <w:b/>
                              <w:color w:val="000000"/>
                              <w:sz w:val="16"/>
                            </w:rPr>
                            <w:t>Agribusiness, Food, and Consumer Economics Research Center</w:t>
                          </w:r>
                        </w:p>
                        <w:p w14:paraId="0330E448" w14:textId="77777777" w:rsidR="00945980" w:rsidRDefault="00945980" w:rsidP="00945980">
                          <w:pPr>
                            <w:spacing w:after="0"/>
                            <w:textDirection w:val="btLr"/>
                          </w:pPr>
                          <w:r>
                            <w:rPr>
                              <w:rFonts w:ascii="Arial Narrow" w:eastAsia="Arial Narrow" w:hAnsi="Arial Narrow" w:cs="Arial Narrow"/>
                              <w:b/>
                              <w:i/>
                              <w:color w:val="000000"/>
                              <w:sz w:val="16"/>
                            </w:rPr>
                            <w:t xml:space="preserve">at Texas A&amp;M University </w:t>
                          </w:r>
                        </w:p>
                      </w:txbxContent>
                    </v:textbox>
                  </v:rect>
                </v:group>
              </v:group>
            </w:pict>
          </mc:Fallback>
        </mc:AlternateContent>
      </w:r>
      <w:r>
        <w:rPr>
          <w:noProof/>
        </w:rPr>
        <w:drawing>
          <wp:anchor distT="0" distB="0" distL="114300" distR="114300" simplePos="0" relativeHeight="251660288" behindDoc="0" locked="0" layoutInCell="1" hidden="0" allowOverlap="1" wp14:anchorId="4F412903" wp14:editId="11CF3946">
            <wp:simplePos x="0" y="0"/>
            <wp:positionH relativeFrom="column">
              <wp:posOffset>2419350</wp:posOffset>
            </wp:positionH>
            <wp:positionV relativeFrom="paragraph">
              <wp:posOffset>-550544</wp:posOffset>
            </wp:positionV>
            <wp:extent cx="1853973" cy="339426"/>
            <wp:effectExtent l="0" t="0" r="0" b="0"/>
            <wp:wrapNone/>
            <wp:docPr id="12" name="image1.png" descr="Image result for global cold chain alliance"/>
            <wp:cNvGraphicFramePr/>
            <a:graphic xmlns:a="http://schemas.openxmlformats.org/drawingml/2006/main">
              <a:graphicData uri="http://schemas.openxmlformats.org/drawingml/2006/picture">
                <pic:pic xmlns:pic="http://schemas.openxmlformats.org/drawingml/2006/picture">
                  <pic:nvPicPr>
                    <pic:cNvPr id="0" name="image1.png" descr="Image result for global cold chain alliance"/>
                    <pic:cNvPicPr preferRelativeResize="0"/>
                  </pic:nvPicPr>
                  <pic:blipFill>
                    <a:blip r:embed="rId9"/>
                    <a:srcRect/>
                    <a:stretch>
                      <a:fillRect/>
                    </a:stretch>
                  </pic:blipFill>
                  <pic:spPr>
                    <a:xfrm>
                      <a:off x="0" y="0"/>
                      <a:ext cx="1853973" cy="339426"/>
                    </a:xfrm>
                    <a:prstGeom prst="rect">
                      <a:avLst/>
                    </a:prstGeom>
                    <a:ln/>
                  </pic:spPr>
                </pic:pic>
              </a:graphicData>
            </a:graphic>
          </wp:anchor>
        </w:drawing>
      </w:r>
    </w:p>
    <w:p w14:paraId="04F354E5" w14:textId="77777777" w:rsidR="00945980" w:rsidRDefault="00945980" w:rsidP="00945980">
      <w:pPr>
        <w:spacing w:after="0"/>
        <w:jc w:val="right"/>
        <w:rPr>
          <w:sz w:val="16"/>
          <w:szCs w:val="16"/>
        </w:rPr>
      </w:pPr>
    </w:p>
    <w:p w14:paraId="060C95F9" w14:textId="2926F749" w:rsidR="00945980" w:rsidRDefault="00051E26" w:rsidP="00945980">
      <w:pPr>
        <w:spacing w:after="0"/>
        <w:jc w:val="right"/>
      </w:pPr>
      <w:r>
        <w:t>January 3, 2023</w:t>
      </w:r>
    </w:p>
    <w:p w14:paraId="2BE212D7" w14:textId="77777777" w:rsidR="00945980" w:rsidRDefault="00945980" w:rsidP="00945980">
      <w:pPr>
        <w:spacing w:after="0"/>
        <w:jc w:val="right"/>
      </w:pPr>
    </w:p>
    <w:p w14:paraId="1AF985BB" w14:textId="62DB1215" w:rsidR="00945980" w:rsidRDefault="00945980" w:rsidP="00945980">
      <w:pPr>
        <w:spacing w:after="0"/>
        <w:jc w:val="center"/>
        <w:rPr>
          <w:b/>
        </w:rPr>
      </w:pPr>
      <w:r>
        <w:rPr>
          <w:b/>
        </w:rPr>
        <w:t>Cold Chain Index: 202</w:t>
      </w:r>
      <w:r w:rsidR="005B124C">
        <w:rPr>
          <w:b/>
        </w:rPr>
        <w:t>2</w:t>
      </w:r>
      <w:r>
        <w:rPr>
          <w:b/>
        </w:rPr>
        <w:t xml:space="preserve"> Quarter </w:t>
      </w:r>
      <w:r w:rsidR="00E110D9">
        <w:rPr>
          <w:b/>
        </w:rPr>
        <w:t>3</w:t>
      </w:r>
    </w:p>
    <w:p w14:paraId="718C1AEE" w14:textId="77777777" w:rsidR="00945980" w:rsidRDefault="00945980" w:rsidP="00945980">
      <w:pPr>
        <w:spacing w:after="120"/>
        <w:jc w:val="center"/>
        <w:rPr>
          <w:b/>
          <w:sz w:val="12"/>
          <w:szCs w:val="12"/>
        </w:rPr>
      </w:pPr>
    </w:p>
    <w:p w14:paraId="26F2034D" w14:textId="77777777" w:rsidR="00945980" w:rsidRDefault="00945980" w:rsidP="00945980">
      <w:pPr>
        <w:jc w:val="both"/>
      </w:pPr>
      <w:r>
        <w:t>In order to improve the economic information available to industry participants, the Global Cold Chain Alliance has commissioned a Cold Chain Index (CCI), reported since the end of 2018. The CCI tracks the growth rates of costs associated with cold storage using predominantly official sources of economic data. The CCI can be customized to the region, state, and metro where a warehouse facility operates.</w:t>
      </w:r>
    </w:p>
    <w:p w14:paraId="2D757352" w14:textId="4EF04576" w:rsidR="00945980" w:rsidRDefault="00945980" w:rsidP="00945980">
      <w:pPr>
        <w:jc w:val="both"/>
      </w:pPr>
      <w:r>
        <w:t>The CCI includes five classes of expenses: labor, electric power, supplies, repairs, and rent; the cost shares typical of a North American refrigerated warehouse are shown in Figure 1. Property rent or lease was the largest share of expenses, at 45% of the total. Labor represented 34% of total expenses. Electric power accounted for 9% of total expenses. The “other” category included the leases on material handling equipment, expenses on utilities other than electric power, and un-specified other expenses. The cost shares used in all 2022 releases of the CCI are based on the 2021 IARW Productivity and Benchmarking Survey results (FY2020).</w:t>
      </w:r>
    </w:p>
    <w:p w14:paraId="0DD5DC2C" w14:textId="0DCEDDBB" w:rsidR="00945980" w:rsidRDefault="00945980" w:rsidP="00945980">
      <w:pPr>
        <w:spacing w:after="240"/>
        <w:jc w:val="both"/>
      </w:pPr>
      <w:r>
        <w:t>In the current release, the CCI reports the growth rate in expenses in the</w:t>
      </w:r>
      <w:r w:rsidR="00C46A2B">
        <w:t xml:space="preserve"> </w:t>
      </w:r>
      <w:r w:rsidR="005B124C">
        <w:t>third</w:t>
      </w:r>
      <w:r>
        <w:t xml:space="preserve"> quarter of 2022 compared with the</w:t>
      </w:r>
      <w:r w:rsidR="00C46A2B">
        <w:t xml:space="preserve"> </w:t>
      </w:r>
      <w:r w:rsidR="005B124C">
        <w:t>third</w:t>
      </w:r>
      <w:r>
        <w:t xml:space="preserve"> quarter of 2021. Members of the Global Cold Chain Alliance and their customers may access a template to better understand the index and customize cost shares to the experience of their business, and to account for variation across geographic regions.</w:t>
      </w:r>
      <w:r>
        <w:rPr>
          <w:vertAlign w:val="superscript"/>
        </w:rPr>
        <w:footnoteReference w:id="1"/>
      </w:r>
      <w:r>
        <w:rPr>
          <w:highlight w:val="yellow"/>
        </w:rPr>
        <w:t xml:space="preserve"> </w:t>
      </w:r>
    </w:p>
    <w:p w14:paraId="606C2D1E" w14:textId="5D6CDBBE" w:rsidR="00945980" w:rsidRDefault="00945980" w:rsidP="00945980">
      <w:pPr>
        <w:pBdr>
          <w:top w:val="nil"/>
          <w:left w:val="nil"/>
          <w:bottom w:val="nil"/>
          <w:right w:val="nil"/>
          <w:between w:val="nil"/>
        </w:pBdr>
        <w:spacing w:after="200"/>
        <w:jc w:val="both"/>
        <w:rPr>
          <w:i/>
          <w:color w:val="44546A"/>
          <w:sz w:val="19"/>
          <w:szCs w:val="19"/>
        </w:rPr>
      </w:pPr>
      <w:r>
        <w:rPr>
          <w:i/>
          <w:color w:val="44546A"/>
          <w:sz w:val="19"/>
          <w:szCs w:val="19"/>
        </w:rPr>
        <w:t>Figure 1. Cost Shares of North American Refrigerated Warehouses, based on FY20</w:t>
      </w:r>
      <w:r w:rsidR="007D3F34">
        <w:rPr>
          <w:i/>
          <w:color w:val="44546A"/>
          <w:sz w:val="19"/>
          <w:szCs w:val="19"/>
        </w:rPr>
        <w:t>20</w:t>
      </w:r>
      <w:r>
        <w:rPr>
          <w:i/>
          <w:color w:val="44546A"/>
          <w:sz w:val="19"/>
          <w:szCs w:val="19"/>
        </w:rPr>
        <w:t xml:space="preserve"> IARW Productivity &amp; Benchmarking Survey</w:t>
      </w:r>
    </w:p>
    <w:p w14:paraId="310BCD63" w14:textId="77777777" w:rsidR="00945980" w:rsidRDefault="00945980" w:rsidP="00945980">
      <w:pPr>
        <w:keepNext/>
        <w:spacing w:after="0"/>
        <w:jc w:val="center"/>
      </w:pPr>
      <w:r>
        <w:rPr>
          <w:noProof/>
        </w:rPr>
        <w:drawing>
          <wp:inline distT="0" distB="0" distL="0" distR="0" wp14:anchorId="55D4FC75" wp14:editId="40516531">
            <wp:extent cx="4543425" cy="237744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D3219D" w14:textId="77777777" w:rsidR="00945980" w:rsidRDefault="00945980" w:rsidP="00945980">
      <w:pPr>
        <w:jc w:val="both"/>
      </w:pPr>
    </w:p>
    <w:p w14:paraId="151FEF10" w14:textId="4BE0C67F" w:rsidR="00686FD2" w:rsidRDefault="00686FD2" w:rsidP="00686FD2">
      <w:pPr>
        <w:pStyle w:val="NormalWeb"/>
        <w:spacing w:before="0" w:beforeAutospacing="0" w:after="0" w:afterAutospacing="0"/>
        <w:rPr>
          <w:rStyle w:val="Strong"/>
          <w:rFonts w:asciiTheme="minorHAnsi" w:hAnsiTheme="minorHAnsi" w:cstheme="minorHAnsi"/>
          <w:color w:val="0E101A"/>
        </w:rPr>
      </w:pPr>
      <w:r w:rsidRPr="00772C88">
        <w:rPr>
          <w:rStyle w:val="Strong"/>
          <w:rFonts w:asciiTheme="minorHAnsi" w:hAnsiTheme="minorHAnsi" w:cstheme="minorHAnsi"/>
          <w:color w:val="0E101A"/>
        </w:rPr>
        <w:lastRenderedPageBreak/>
        <w:t>Results</w:t>
      </w:r>
    </w:p>
    <w:p w14:paraId="092BCB2F" w14:textId="77777777" w:rsidR="002F636E" w:rsidRPr="00772C88" w:rsidRDefault="002F636E" w:rsidP="00686FD2">
      <w:pPr>
        <w:pStyle w:val="NormalWeb"/>
        <w:spacing w:before="0" w:beforeAutospacing="0" w:after="0" w:afterAutospacing="0"/>
        <w:rPr>
          <w:rFonts w:asciiTheme="minorHAnsi" w:hAnsiTheme="minorHAnsi" w:cstheme="minorHAnsi"/>
          <w:color w:val="0E101A"/>
        </w:rPr>
      </w:pPr>
    </w:p>
    <w:p w14:paraId="210B9E59" w14:textId="25E1DC4A" w:rsidR="00C22806" w:rsidRDefault="00686FD2" w:rsidP="00686FD2">
      <w:pPr>
        <w:pStyle w:val="NormalWeb"/>
        <w:spacing w:before="0" w:beforeAutospacing="0" w:after="0" w:afterAutospacing="0"/>
        <w:rPr>
          <w:rFonts w:asciiTheme="minorHAnsi" w:hAnsiTheme="minorHAnsi" w:cstheme="minorHAnsi"/>
          <w:color w:val="0E101A"/>
        </w:rPr>
      </w:pPr>
      <w:r w:rsidRPr="00772C88">
        <w:rPr>
          <w:rFonts w:asciiTheme="minorHAnsi" w:hAnsiTheme="minorHAnsi" w:cstheme="minorHAnsi"/>
          <w:color w:val="0E101A"/>
        </w:rPr>
        <w:t xml:space="preserve">Expenses for refrigerated warehouses rose by </w:t>
      </w:r>
      <w:r w:rsidR="005B124C">
        <w:rPr>
          <w:rFonts w:asciiTheme="minorHAnsi" w:hAnsiTheme="minorHAnsi" w:cstheme="minorHAnsi"/>
          <w:color w:val="0E101A"/>
        </w:rPr>
        <w:t>15.16</w:t>
      </w:r>
      <w:r w:rsidRPr="00772C88">
        <w:rPr>
          <w:rFonts w:asciiTheme="minorHAnsi" w:hAnsiTheme="minorHAnsi" w:cstheme="minorHAnsi"/>
          <w:color w:val="0E101A"/>
        </w:rPr>
        <w:t xml:space="preserve">% in the </w:t>
      </w:r>
      <w:r w:rsidR="005B124C">
        <w:rPr>
          <w:rFonts w:asciiTheme="minorHAnsi" w:hAnsiTheme="minorHAnsi" w:cstheme="minorHAnsi"/>
          <w:color w:val="0E101A"/>
        </w:rPr>
        <w:t xml:space="preserve">third </w:t>
      </w:r>
      <w:r w:rsidRPr="00772C88">
        <w:rPr>
          <w:rFonts w:asciiTheme="minorHAnsi" w:hAnsiTheme="minorHAnsi" w:cstheme="minorHAnsi"/>
          <w:color w:val="0E101A"/>
        </w:rPr>
        <w:t>quarter of 2022 relative to the same period in 2021</w:t>
      </w:r>
      <w:r w:rsidR="00DD4E45">
        <w:rPr>
          <w:rFonts w:asciiTheme="minorHAnsi" w:hAnsiTheme="minorHAnsi" w:cstheme="minorHAnsi"/>
          <w:color w:val="0E101A"/>
        </w:rPr>
        <w:t xml:space="preserve">, </w:t>
      </w:r>
      <w:r w:rsidR="00C22806">
        <w:rPr>
          <w:rFonts w:asciiTheme="minorHAnsi" w:hAnsiTheme="minorHAnsi" w:cstheme="minorHAnsi"/>
          <w:color w:val="0E101A"/>
        </w:rPr>
        <w:t>marking the largest cost escalation since this index began</w:t>
      </w:r>
      <w:r w:rsidRPr="00772C88">
        <w:rPr>
          <w:rFonts w:asciiTheme="minorHAnsi" w:hAnsiTheme="minorHAnsi" w:cstheme="minorHAnsi"/>
          <w:color w:val="0E101A"/>
        </w:rPr>
        <w:t xml:space="preserve"> (Figure 2). </w:t>
      </w:r>
      <w:r w:rsidR="00976913">
        <w:rPr>
          <w:rFonts w:asciiTheme="minorHAnsi" w:hAnsiTheme="minorHAnsi" w:cstheme="minorHAnsi"/>
          <w:color w:val="0E101A"/>
        </w:rPr>
        <w:t xml:space="preserve"> </w:t>
      </w:r>
      <w:r w:rsidR="00051E26">
        <w:rPr>
          <w:rFonts w:asciiTheme="minorHAnsi" w:hAnsiTheme="minorHAnsi" w:cstheme="minorHAnsi"/>
          <w:color w:val="0E101A"/>
        </w:rPr>
        <w:t>R</w:t>
      </w:r>
      <w:r w:rsidR="00C22806">
        <w:rPr>
          <w:rFonts w:asciiTheme="minorHAnsi" w:hAnsiTheme="minorHAnsi" w:cstheme="minorHAnsi"/>
          <w:color w:val="0E101A"/>
        </w:rPr>
        <w:t xml:space="preserve">ents, </w:t>
      </w:r>
      <w:r w:rsidR="00051E26">
        <w:rPr>
          <w:rFonts w:asciiTheme="minorHAnsi" w:hAnsiTheme="minorHAnsi" w:cstheme="minorHAnsi"/>
          <w:color w:val="0E101A"/>
        </w:rPr>
        <w:t xml:space="preserve">electric power, </w:t>
      </w:r>
      <w:r w:rsidR="00C22806">
        <w:rPr>
          <w:rFonts w:asciiTheme="minorHAnsi" w:hAnsiTheme="minorHAnsi" w:cstheme="minorHAnsi"/>
          <w:color w:val="0E101A"/>
        </w:rPr>
        <w:t>maintenance</w:t>
      </w:r>
      <w:r w:rsidR="00051E26">
        <w:rPr>
          <w:rFonts w:asciiTheme="minorHAnsi" w:hAnsiTheme="minorHAnsi" w:cstheme="minorHAnsi"/>
          <w:color w:val="0E101A"/>
        </w:rPr>
        <w:t>,</w:t>
      </w:r>
      <w:r w:rsidR="00C22806">
        <w:rPr>
          <w:rFonts w:asciiTheme="minorHAnsi" w:hAnsiTheme="minorHAnsi" w:cstheme="minorHAnsi"/>
          <w:color w:val="0E101A"/>
        </w:rPr>
        <w:t xml:space="preserve"> and repair costs </w:t>
      </w:r>
      <w:r w:rsidR="003F2869">
        <w:rPr>
          <w:rFonts w:asciiTheme="minorHAnsi" w:hAnsiTheme="minorHAnsi" w:cstheme="minorHAnsi"/>
          <w:color w:val="0E101A"/>
        </w:rPr>
        <w:t xml:space="preserve">each </w:t>
      </w:r>
      <w:r w:rsidR="00C22806">
        <w:rPr>
          <w:rFonts w:asciiTheme="minorHAnsi" w:hAnsiTheme="minorHAnsi" w:cstheme="minorHAnsi"/>
          <w:color w:val="0E101A"/>
        </w:rPr>
        <w:t xml:space="preserve">grew by more than </w:t>
      </w:r>
      <w:r w:rsidR="00051E26">
        <w:rPr>
          <w:rFonts w:asciiTheme="minorHAnsi" w:hAnsiTheme="minorHAnsi" w:cstheme="minorHAnsi"/>
          <w:color w:val="0E101A"/>
        </w:rPr>
        <w:t>8</w:t>
      </w:r>
      <w:r w:rsidR="00C22806">
        <w:rPr>
          <w:rFonts w:asciiTheme="minorHAnsi" w:hAnsiTheme="minorHAnsi" w:cstheme="minorHAnsi"/>
          <w:color w:val="0E101A"/>
        </w:rPr>
        <w:t>%, year</w:t>
      </w:r>
      <w:r w:rsidR="00051E26">
        <w:rPr>
          <w:rFonts w:asciiTheme="minorHAnsi" w:hAnsiTheme="minorHAnsi" w:cstheme="minorHAnsi"/>
          <w:color w:val="0E101A"/>
        </w:rPr>
        <w:t>-</w:t>
      </w:r>
      <w:r w:rsidR="00C22806">
        <w:rPr>
          <w:rFonts w:asciiTheme="minorHAnsi" w:hAnsiTheme="minorHAnsi" w:cstheme="minorHAnsi"/>
          <w:color w:val="0E101A"/>
        </w:rPr>
        <w:t>on</w:t>
      </w:r>
      <w:r w:rsidR="00051E26">
        <w:rPr>
          <w:rFonts w:asciiTheme="minorHAnsi" w:hAnsiTheme="minorHAnsi" w:cstheme="minorHAnsi"/>
          <w:color w:val="0E101A"/>
        </w:rPr>
        <w:t>-</w:t>
      </w:r>
      <w:r w:rsidR="00C22806">
        <w:rPr>
          <w:rFonts w:asciiTheme="minorHAnsi" w:hAnsiTheme="minorHAnsi" w:cstheme="minorHAnsi"/>
          <w:color w:val="0E101A"/>
        </w:rPr>
        <w:t>year</w:t>
      </w:r>
      <w:r w:rsidR="00F86A5C">
        <w:rPr>
          <w:rFonts w:asciiTheme="minorHAnsi" w:hAnsiTheme="minorHAnsi" w:cstheme="minorHAnsi"/>
          <w:color w:val="0E101A"/>
        </w:rPr>
        <w:t>,</w:t>
      </w:r>
      <w:r w:rsidR="00051E26">
        <w:rPr>
          <w:rFonts w:asciiTheme="minorHAnsi" w:hAnsiTheme="minorHAnsi" w:cstheme="minorHAnsi"/>
          <w:color w:val="0E101A"/>
        </w:rPr>
        <w:t xml:space="preserve"> while labor cost grew much more slowly.</w:t>
      </w:r>
      <w:r w:rsidR="00C22806">
        <w:rPr>
          <w:rFonts w:asciiTheme="minorHAnsi" w:hAnsiTheme="minorHAnsi" w:cstheme="minorHAnsi"/>
          <w:color w:val="0E101A"/>
        </w:rPr>
        <w:t xml:space="preserve">  </w:t>
      </w:r>
    </w:p>
    <w:p w14:paraId="3BB027DC" w14:textId="77777777" w:rsidR="00C22806" w:rsidRDefault="00C22806" w:rsidP="00686FD2">
      <w:pPr>
        <w:pStyle w:val="NormalWeb"/>
        <w:spacing w:before="0" w:beforeAutospacing="0" w:after="0" w:afterAutospacing="0"/>
        <w:rPr>
          <w:rFonts w:asciiTheme="minorHAnsi" w:hAnsiTheme="minorHAnsi" w:cstheme="minorHAnsi"/>
          <w:color w:val="0E101A"/>
        </w:rPr>
      </w:pPr>
    </w:p>
    <w:p w14:paraId="18ABBA22" w14:textId="6339196F" w:rsidR="00AC2190" w:rsidRDefault="003F2869" w:rsidP="003F2869">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N</w:t>
      </w:r>
      <w:r w:rsidRPr="00772C88">
        <w:rPr>
          <w:rFonts w:asciiTheme="minorHAnsi" w:hAnsiTheme="minorHAnsi" w:cstheme="minorHAnsi"/>
          <w:color w:val="0E101A"/>
        </w:rPr>
        <w:t xml:space="preserve">ational occupancy costs for warehouses and distribution properties grew by </w:t>
      </w:r>
      <w:r w:rsidR="005B124C">
        <w:rPr>
          <w:rFonts w:asciiTheme="minorHAnsi" w:hAnsiTheme="minorHAnsi" w:cstheme="minorHAnsi"/>
          <w:color w:val="0E101A"/>
        </w:rPr>
        <w:t>26.74</w:t>
      </w:r>
      <w:r w:rsidRPr="00772C88">
        <w:rPr>
          <w:rFonts w:asciiTheme="minorHAnsi" w:hAnsiTheme="minorHAnsi" w:cstheme="minorHAnsi"/>
          <w:color w:val="0E101A"/>
        </w:rPr>
        <w:t>% year-over-year in Q</w:t>
      </w:r>
      <w:r w:rsidR="00AC2190">
        <w:rPr>
          <w:rFonts w:asciiTheme="minorHAnsi" w:hAnsiTheme="minorHAnsi" w:cstheme="minorHAnsi"/>
          <w:color w:val="0E101A"/>
        </w:rPr>
        <w:t>3</w:t>
      </w:r>
      <w:r w:rsidRPr="00772C88">
        <w:rPr>
          <w:rFonts w:asciiTheme="minorHAnsi" w:hAnsiTheme="minorHAnsi" w:cstheme="minorHAnsi"/>
          <w:color w:val="0E101A"/>
        </w:rPr>
        <w:t xml:space="preserve"> 2022</w:t>
      </w:r>
      <w:r w:rsidR="00051E26">
        <w:rPr>
          <w:rFonts w:asciiTheme="minorHAnsi" w:hAnsiTheme="minorHAnsi" w:cstheme="minorHAnsi"/>
          <w:color w:val="0E101A"/>
        </w:rPr>
        <w:t xml:space="preserve">. </w:t>
      </w:r>
      <w:r>
        <w:rPr>
          <w:rFonts w:asciiTheme="minorHAnsi" w:hAnsiTheme="minorHAnsi" w:cstheme="minorHAnsi"/>
          <w:color w:val="0E101A"/>
        </w:rPr>
        <w:t xml:space="preserve"> </w:t>
      </w:r>
      <w:r w:rsidRPr="00772C88">
        <w:rPr>
          <w:rFonts w:asciiTheme="minorHAnsi" w:hAnsiTheme="minorHAnsi" w:cstheme="minorHAnsi"/>
          <w:color w:val="0E101A"/>
        </w:rPr>
        <w:t>Occupancy cost growth was estimated from data on Quarterly Net Asking Warehouse Rents collected by Cushman &amp; Wakefield across 80 different metro markets in the United States.</w:t>
      </w:r>
    </w:p>
    <w:p w14:paraId="22468211" w14:textId="7DECEBC1" w:rsidR="003F2869" w:rsidRDefault="00DB7740" w:rsidP="003F2869">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Only 5</w:t>
      </w:r>
      <w:r w:rsidR="00AC2190">
        <w:rPr>
          <w:rFonts w:asciiTheme="minorHAnsi" w:hAnsiTheme="minorHAnsi" w:cstheme="minorHAnsi"/>
          <w:color w:val="0E101A"/>
        </w:rPr>
        <w:t xml:space="preserve"> </w:t>
      </w:r>
      <w:r w:rsidR="003F2869">
        <w:rPr>
          <w:rFonts w:asciiTheme="minorHAnsi" w:hAnsiTheme="minorHAnsi" w:cstheme="minorHAnsi"/>
          <w:color w:val="0E101A"/>
        </w:rPr>
        <w:t>me</w:t>
      </w:r>
      <w:r w:rsidR="003F2869" w:rsidRPr="00772C88">
        <w:rPr>
          <w:rFonts w:asciiTheme="minorHAnsi" w:hAnsiTheme="minorHAnsi" w:cstheme="minorHAnsi"/>
          <w:color w:val="0E101A"/>
        </w:rPr>
        <w:t xml:space="preserve">tro areas experienced declining occupancy costs for warehouse and distribution properties on a seasonal year-over-year basis, </w:t>
      </w:r>
      <w:r w:rsidR="003F2869">
        <w:rPr>
          <w:rFonts w:asciiTheme="minorHAnsi" w:hAnsiTheme="minorHAnsi" w:cstheme="minorHAnsi"/>
          <w:color w:val="0E101A"/>
        </w:rPr>
        <w:t xml:space="preserve">specifically Sacramento, </w:t>
      </w:r>
      <w:r w:rsidR="00AC2190" w:rsidRPr="00AC2190">
        <w:rPr>
          <w:rFonts w:asciiTheme="minorHAnsi" w:hAnsiTheme="minorHAnsi" w:cstheme="minorHAnsi"/>
          <w:color w:val="0E101A"/>
        </w:rPr>
        <w:t xml:space="preserve">Puget Sound </w:t>
      </w:r>
      <w:r w:rsidR="00AC2190">
        <w:rPr>
          <w:rFonts w:asciiTheme="minorHAnsi" w:hAnsiTheme="minorHAnsi" w:cstheme="minorHAnsi"/>
          <w:color w:val="0E101A"/>
        </w:rPr>
        <w:t>–</w:t>
      </w:r>
      <w:r w:rsidR="00AC2190" w:rsidRPr="00AC2190">
        <w:rPr>
          <w:rFonts w:asciiTheme="minorHAnsi" w:hAnsiTheme="minorHAnsi" w:cstheme="minorHAnsi"/>
          <w:color w:val="0E101A"/>
        </w:rPr>
        <w:t xml:space="preserve"> Eastside</w:t>
      </w:r>
      <w:r w:rsidR="00AC2190">
        <w:rPr>
          <w:rFonts w:asciiTheme="minorHAnsi" w:hAnsiTheme="minorHAnsi" w:cstheme="minorHAnsi"/>
          <w:color w:val="0E101A"/>
        </w:rPr>
        <w:t>,</w:t>
      </w:r>
      <w:r w:rsidR="00AC2190" w:rsidRPr="00AC2190">
        <w:t xml:space="preserve"> </w:t>
      </w:r>
      <w:r w:rsidR="00AC2190" w:rsidRPr="00AC2190">
        <w:rPr>
          <w:rFonts w:asciiTheme="minorHAnsi" w:hAnsiTheme="minorHAnsi" w:cstheme="minorHAnsi"/>
          <w:color w:val="0E101A"/>
        </w:rPr>
        <w:t>Syracuse</w:t>
      </w:r>
      <w:r w:rsidR="00AC2190">
        <w:rPr>
          <w:rFonts w:asciiTheme="minorHAnsi" w:hAnsiTheme="minorHAnsi" w:cstheme="minorHAnsi"/>
          <w:color w:val="0E101A"/>
        </w:rPr>
        <w:t>,</w:t>
      </w:r>
      <w:r w:rsidR="00AC2190" w:rsidRPr="00AC2190">
        <w:t xml:space="preserve"> </w:t>
      </w:r>
      <w:r w:rsidR="00AC2190" w:rsidRPr="00AC2190">
        <w:rPr>
          <w:rFonts w:asciiTheme="minorHAnsi" w:hAnsiTheme="minorHAnsi" w:cstheme="minorHAnsi"/>
          <w:color w:val="0E101A"/>
        </w:rPr>
        <w:t>San Francisco North Bay</w:t>
      </w:r>
      <w:r w:rsidR="00AC2190">
        <w:rPr>
          <w:rFonts w:asciiTheme="minorHAnsi" w:hAnsiTheme="minorHAnsi" w:cstheme="minorHAnsi"/>
          <w:color w:val="0E101A"/>
        </w:rPr>
        <w:t xml:space="preserve"> and </w:t>
      </w:r>
      <w:r w:rsidR="00AC2190" w:rsidRPr="00AC2190">
        <w:rPr>
          <w:rFonts w:asciiTheme="minorHAnsi" w:hAnsiTheme="minorHAnsi" w:cstheme="minorHAnsi"/>
          <w:color w:val="0E101A"/>
        </w:rPr>
        <w:t>Hartford</w:t>
      </w:r>
      <w:r w:rsidR="00AC2190">
        <w:rPr>
          <w:rFonts w:asciiTheme="minorHAnsi" w:hAnsiTheme="minorHAnsi" w:cstheme="minorHAnsi"/>
          <w:color w:val="0E101A"/>
        </w:rPr>
        <w:t>.</w:t>
      </w:r>
      <w:r>
        <w:rPr>
          <w:rFonts w:asciiTheme="minorHAnsi" w:hAnsiTheme="minorHAnsi" w:cstheme="minorHAnsi"/>
          <w:color w:val="0E101A"/>
        </w:rPr>
        <w:t xml:space="preserve">  The markets in which asking rents spiked by more than 50% were Boston, Charleston, Phoenix, Raleigh-Durham, and Rochester.</w:t>
      </w:r>
    </w:p>
    <w:p w14:paraId="2B342CC0" w14:textId="77777777" w:rsidR="003F2869" w:rsidRPr="00772C88" w:rsidRDefault="003F2869" w:rsidP="003F2869">
      <w:pPr>
        <w:pStyle w:val="NormalWeb"/>
        <w:spacing w:before="0" w:beforeAutospacing="0" w:after="0" w:afterAutospacing="0"/>
        <w:rPr>
          <w:rFonts w:asciiTheme="minorHAnsi" w:hAnsiTheme="minorHAnsi" w:cstheme="minorHAnsi"/>
          <w:color w:val="0E101A"/>
        </w:rPr>
      </w:pPr>
    </w:p>
    <w:p w14:paraId="2AB26352" w14:textId="4EA30266" w:rsidR="00686FD2" w:rsidRDefault="00686FD2" w:rsidP="00686FD2">
      <w:pPr>
        <w:pStyle w:val="NormalWeb"/>
        <w:spacing w:before="0" w:beforeAutospacing="0" w:after="0" w:afterAutospacing="0"/>
        <w:rPr>
          <w:rFonts w:asciiTheme="minorHAnsi" w:hAnsiTheme="minorHAnsi" w:cstheme="minorHAnsi"/>
          <w:color w:val="0E101A"/>
        </w:rPr>
      </w:pPr>
      <w:r w:rsidRPr="00772C88">
        <w:rPr>
          <w:rFonts w:asciiTheme="minorHAnsi" w:hAnsiTheme="minorHAnsi" w:cstheme="minorHAnsi"/>
          <w:color w:val="0E101A"/>
        </w:rPr>
        <w:t xml:space="preserve">Electric power costs increased by </w:t>
      </w:r>
      <w:r w:rsidR="00AC2190">
        <w:rPr>
          <w:rFonts w:asciiTheme="minorHAnsi" w:hAnsiTheme="minorHAnsi" w:cstheme="minorHAnsi"/>
          <w:color w:val="0E101A"/>
        </w:rPr>
        <w:t>9.60</w:t>
      </w:r>
      <w:r w:rsidRPr="00772C88">
        <w:rPr>
          <w:rFonts w:asciiTheme="minorHAnsi" w:hAnsiTheme="minorHAnsi" w:cstheme="minorHAnsi"/>
          <w:color w:val="0E101A"/>
        </w:rPr>
        <w:t>%</w:t>
      </w:r>
      <w:r w:rsidR="007B7710">
        <w:rPr>
          <w:rFonts w:asciiTheme="minorHAnsi" w:hAnsiTheme="minorHAnsi" w:cstheme="minorHAnsi"/>
          <w:color w:val="0E101A"/>
        </w:rPr>
        <w:t xml:space="preserve"> according to the national average</w:t>
      </w:r>
      <w:r w:rsidR="00EA6AD5">
        <w:rPr>
          <w:rFonts w:asciiTheme="minorHAnsi" w:hAnsiTheme="minorHAnsi" w:cstheme="minorHAnsi"/>
          <w:color w:val="0E101A"/>
        </w:rPr>
        <w:t xml:space="preserve">. </w:t>
      </w:r>
      <w:r w:rsidR="007B7710">
        <w:rPr>
          <w:rFonts w:asciiTheme="minorHAnsi" w:hAnsiTheme="minorHAnsi" w:cstheme="minorHAnsi"/>
          <w:color w:val="0E101A"/>
        </w:rPr>
        <w:t xml:space="preserve"> </w:t>
      </w:r>
      <w:r w:rsidR="00382F6D" w:rsidRPr="00382F6D">
        <w:rPr>
          <w:rFonts w:asciiTheme="minorHAnsi" w:hAnsiTheme="minorHAnsi" w:cstheme="minorHAnsi"/>
          <w:color w:val="0E101A"/>
        </w:rPr>
        <w:t xml:space="preserve">The </w:t>
      </w:r>
      <w:r w:rsidR="00805462">
        <w:rPr>
          <w:rFonts w:asciiTheme="minorHAnsi" w:hAnsiTheme="minorHAnsi" w:cstheme="minorHAnsi"/>
          <w:color w:val="0E101A"/>
        </w:rPr>
        <w:t xml:space="preserve">national </w:t>
      </w:r>
      <w:r w:rsidR="00382F6D" w:rsidRPr="00382F6D">
        <w:rPr>
          <w:rFonts w:asciiTheme="minorHAnsi" w:hAnsiTheme="minorHAnsi" w:cstheme="minorHAnsi"/>
          <w:color w:val="0E101A"/>
        </w:rPr>
        <w:t xml:space="preserve">average price of electric power for industrial sectors increased to </w:t>
      </w:r>
      <w:r w:rsidR="0068420D">
        <w:rPr>
          <w:rFonts w:asciiTheme="minorHAnsi" w:hAnsiTheme="minorHAnsi" w:cstheme="minorHAnsi"/>
          <w:color w:val="0E101A"/>
        </w:rPr>
        <w:t>8.4</w:t>
      </w:r>
      <w:r w:rsidR="00AC2190">
        <w:rPr>
          <w:rFonts w:asciiTheme="minorHAnsi" w:hAnsiTheme="minorHAnsi" w:cstheme="minorHAnsi"/>
          <w:color w:val="0E101A"/>
        </w:rPr>
        <w:t>5</w:t>
      </w:r>
      <w:r w:rsidR="00382F6D" w:rsidRPr="00382F6D">
        <w:rPr>
          <w:rFonts w:asciiTheme="minorHAnsi" w:hAnsiTheme="minorHAnsi" w:cstheme="minorHAnsi"/>
          <w:color w:val="0E101A"/>
        </w:rPr>
        <w:t xml:space="preserve"> cents per Kilowatt-hour in Q</w:t>
      </w:r>
      <w:r w:rsidR="00AC2190">
        <w:rPr>
          <w:rFonts w:asciiTheme="minorHAnsi" w:hAnsiTheme="minorHAnsi" w:cstheme="minorHAnsi"/>
          <w:color w:val="0E101A"/>
        </w:rPr>
        <w:t>3</w:t>
      </w:r>
      <w:r w:rsidR="00382F6D" w:rsidRPr="00382F6D">
        <w:rPr>
          <w:rFonts w:asciiTheme="minorHAnsi" w:hAnsiTheme="minorHAnsi" w:cstheme="minorHAnsi"/>
          <w:color w:val="0E101A"/>
        </w:rPr>
        <w:t xml:space="preserve"> 202</w:t>
      </w:r>
      <w:r w:rsidR="00D845B0">
        <w:rPr>
          <w:rFonts w:asciiTheme="minorHAnsi" w:hAnsiTheme="minorHAnsi" w:cstheme="minorHAnsi"/>
          <w:color w:val="0E101A"/>
        </w:rPr>
        <w:t>2</w:t>
      </w:r>
      <w:r w:rsidR="00805462">
        <w:rPr>
          <w:rFonts w:asciiTheme="minorHAnsi" w:hAnsiTheme="minorHAnsi" w:cstheme="minorHAnsi"/>
          <w:color w:val="0E101A"/>
        </w:rPr>
        <w:t xml:space="preserve">. </w:t>
      </w:r>
      <w:r w:rsidR="0068420D">
        <w:rPr>
          <w:rFonts w:asciiTheme="minorHAnsi" w:hAnsiTheme="minorHAnsi" w:cstheme="minorHAnsi"/>
          <w:color w:val="0E101A"/>
        </w:rPr>
        <w:t>State-level electricity prices varied widely</w:t>
      </w:r>
      <w:r w:rsidR="0068420D" w:rsidRPr="00772C88">
        <w:rPr>
          <w:rFonts w:asciiTheme="minorHAnsi" w:hAnsiTheme="minorHAnsi" w:cstheme="minorHAnsi"/>
          <w:color w:val="0E101A"/>
        </w:rPr>
        <w:t xml:space="preserve">, </w:t>
      </w:r>
      <w:r w:rsidR="0068420D">
        <w:rPr>
          <w:rFonts w:asciiTheme="minorHAnsi" w:hAnsiTheme="minorHAnsi" w:cstheme="minorHAnsi"/>
          <w:color w:val="0E101A"/>
        </w:rPr>
        <w:t xml:space="preserve">led by </w:t>
      </w:r>
      <w:r w:rsidR="00290209">
        <w:rPr>
          <w:rFonts w:asciiTheme="minorHAnsi" w:hAnsiTheme="minorHAnsi" w:cstheme="minorHAnsi"/>
          <w:color w:val="0E101A"/>
        </w:rPr>
        <w:t>Georgia</w:t>
      </w:r>
      <w:r w:rsidR="0068420D">
        <w:rPr>
          <w:rFonts w:asciiTheme="minorHAnsi" w:hAnsiTheme="minorHAnsi" w:cstheme="minorHAnsi"/>
          <w:color w:val="0E101A"/>
        </w:rPr>
        <w:t xml:space="preserve">, </w:t>
      </w:r>
      <w:r w:rsidR="00290209">
        <w:rPr>
          <w:rFonts w:asciiTheme="minorHAnsi" w:hAnsiTheme="minorHAnsi" w:cstheme="minorHAnsi"/>
          <w:color w:val="0E101A"/>
        </w:rPr>
        <w:t xml:space="preserve">Hawaii </w:t>
      </w:r>
      <w:r w:rsidR="0068420D">
        <w:rPr>
          <w:rFonts w:asciiTheme="minorHAnsi" w:hAnsiTheme="minorHAnsi" w:cstheme="minorHAnsi"/>
          <w:color w:val="0E101A"/>
        </w:rPr>
        <w:t xml:space="preserve">and </w:t>
      </w:r>
      <w:r w:rsidR="00290209">
        <w:rPr>
          <w:rFonts w:asciiTheme="minorHAnsi" w:hAnsiTheme="minorHAnsi" w:cstheme="minorHAnsi"/>
          <w:color w:val="0E101A"/>
        </w:rPr>
        <w:t>Kentucky</w:t>
      </w:r>
      <w:r w:rsidR="0068420D">
        <w:rPr>
          <w:rFonts w:asciiTheme="minorHAnsi" w:hAnsiTheme="minorHAnsi" w:cstheme="minorHAnsi"/>
          <w:color w:val="0E101A"/>
        </w:rPr>
        <w:t xml:space="preserve"> with growth rates of </w:t>
      </w:r>
      <w:r w:rsidR="00290209">
        <w:rPr>
          <w:rFonts w:asciiTheme="minorHAnsi" w:hAnsiTheme="minorHAnsi" w:cstheme="minorHAnsi"/>
          <w:color w:val="0E101A"/>
        </w:rPr>
        <w:t>29.83</w:t>
      </w:r>
      <w:r w:rsidR="0068420D">
        <w:rPr>
          <w:rFonts w:asciiTheme="minorHAnsi" w:hAnsiTheme="minorHAnsi" w:cstheme="minorHAnsi"/>
          <w:color w:val="0E101A"/>
        </w:rPr>
        <w:t xml:space="preserve">%, </w:t>
      </w:r>
      <w:r w:rsidR="00290209">
        <w:rPr>
          <w:rFonts w:asciiTheme="minorHAnsi" w:hAnsiTheme="minorHAnsi" w:cstheme="minorHAnsi"/>
          <w:color w:val="0E101A"/>
        </w:rPr>
        <w:t>26.94</w:t>
      </w:r>
      <w:r w:rsidR="0068420D">
        <w:rPr>
          <w:rFonts w:asciiTheme="minorHAnsi" w:hAnsiTheme="minorHAnsi" w:cstheme="minorHAnsi"/>
          <w:color w:val="0E101A"/>
        </w:rPr>
        <w:t xml:space="preserve">%, and </w:t>
      </w:r>
      <w:r w:rsidR="00290209">
        <w:rPr>
          <w:rFonts w:asciiTheme="minorHAnsi" w:hAnsiTheme="minorHAnsi" w:cstheme="minorHAnsi"/>
          <w:color w:val="0E101A"/>
        </w:rPr>
        <w:t>24.43</w:t>
      </w:r>
      <w:r w:rsidR="0068420D">
        <w:rPr>
          <w:rFonts w:asciiTheme="minorHAnsi" w:hAnsiTheme="minorHAnsi" w:cstheme="minorHAnsi"/>
          <w:color w:val="0E101A"/>
        </w:rPr>
        <w:t>% respectively.</w:t>
      </w:r>
    </w:p>
    <w:p w14:paraId="66319F96" w14:textId="18C425B8" w:rsidR="003F2869" w:rsidRDefault="003F2869" w:rsidP="00686FD2">
      <w:pPr>
        <w:pStyle w:val="NormalWeb"/>
        <w:spacing w:before="0" w:beforeAutospacing="0" w:after="0" w:afterAutospacing="0"/>
        <w:rPr>
          <w:rFonts w:asciiTheme="minorHAnsi" w:hAnsiTheme="minorHAnsi" w:cstheme="minorHAnsi"/>
          <w:color w:val="0E101A"/>
        </w:rPr>
      </w:pPr>
    </w:p>
    <w:p w14:paraId="37E7D0B9" w14:textId="55130CB0" w:rsidR="003F2869" w:rsidRDefault="003F2869" w:rsidP="00686FD2">
      <w:pPr>
        <w:pStyle w:val="NormalWeb"/>
        <w:spacing w:before="0" w:beforeAutospacing="0" w:after="0" w:afterAutospacing="0"/>
        <w:rPr>
          <w:rFonts w:asciiTheme="minorHAnsi" w:hAnsiTheme="minorHAnsi" w:cstheme="minorHAnsi"/>
          <w:color w:val="0E101A"/>
        </w:rPr>
      </w:pPr>
      <w:r>
        <w:rPr>
          <w:rFonts w:asciiTheme="minorHAnsi" w:hAnsiTheme="minorHAnsi" w:cstheme="minorHAnsi"/>
          <w:color w:val="0E101A"/>
        </w:rPr>
        <w:t>Th</w:t>
      </w:r>
      <w:r w:rsidRPr="00772C88">
        <w:rPr>
          <w:rFonts w:asciiTheme="minorHAnsi" w:hAnsiTheme="minorHAnsi" w:cstheme="minorHAnsi"/>
          <w:color w:val="0E101A"/>
        </w:rPr>
        <w:t xml:space="preserve">e maintenance and repair cost index for non-residential buildings grew </w:t>
      </w:r>
      <w:r>
        <w:rPr>
          <w:rFonts w:asciiTheme="minorHAnsi" w:hAnsiTheme="minorHAnsi" w:cstheme="minorHAnsi"/>
          <w:color w:val="0E101A"/>
        </w:rPr>
        <w:t xml:space="preserve">by </w:t>
      </w:r>
      <w:r w:rsidR="00290209">
        <w:rPr>
          <w:rFonts w:asciiTheme="minorHAnsi" w:hAnsiTheme="minorHAnsi" w:cstheme="minorHAnsi"/>
          <w:color w:val="0E101A"/>
        </w:rPr>
        <w:t>9.19</w:t>
      </w:r>
      <w:r w:rsidRPr="00772C88">
        <w:rPr>
          <w:rFonts w:asciiTheme="minorHAnsi" w:hAnsiTheme="minorHAnsi" w:cstheme="minorHAnsi"/>
          <w:color w:val="0E101A"/>
        </w:rPr>
        <w:t xml:space="preserve">% year-over-year in the </w:t>
      </w:r>
      <w:r w:rsidR="00290209">
        <w:rPr>
          <w:rFonts w:asciiTheme="minorHAnsi" w:hAnsiTheme="minorHAnsi" w:cstheme="minorHAnsi"/>
          <w:color w:val="0E101A"/>
        </w:rPr>
        <w:t>third</w:t>
      </w:r>
      <w:r>
        <w:rPr>
          <w:rFonts w:asciiTheme="minorHAnsi" w:hAnsiTheme="minorHAnsi" w:cstheme="minorHAnsi"/>
          <w:color w:val="0E101A"/>
        </w:rPr>
        <w:t xml:space="preserve"> quarter</w:t>
      </w:r>
      <w:r w:rsidR="0068420D">
        <w:rPr>
          <w:rFonts w:asciiTheme="minorHAnsi" w:hAnsiTheme="minorHAnsi" w:cstheme="minorHAnsi"/>
          <w:color w:val="0E101A"/>
        </w:rPr>
        <w:t xml:space="preserve"> of 2022</w:t>
      </w:r>
      <w:r>
        <w:rPr>
          <w:rFonts w:asciiTheme="minorHAnsi" w:hAnsiTheme="minorHAnsi" w:cstheme="minorHAnsi"/>
          <w:color w:val="0E101A"/>
        </w:rPr>
        <w:t>, which was slightly slower escalation than the previous quarter</w:t>
      </w:r>
      <w:r w:rsidR="0068420D">
        <w:rPr>
          <w:rFonts w:asciiTheme="minorHAnsi" w:hAnsiTheme="minorHAnsi" w:cstheme="minorHAnsi"/>
          <w:color w:val="0E101A"/>
        </w:rPr>
        <w:t>.  However, the maintenance cost component remained a</w:t>
      </w:r>
      <w:r w:rsidR="00290209">
        <w:rPr>
          <w:rFonts w:asciiTheme="minorHAnsi" w:hAnsiTheme="minorHAnsi" w:cstheme="minorHAnsi"/>
          <w:color w:val="0E101A"/>
        </w:rPr>
        <w:t xml:space="preserve">t a nearly </w:t>
      </w:r>
      <w:r w:rsidR="0068420D">
        <w:rPr>
          <w:rFonts w:asciiTheme="minorHAnsi" w:hAnsiTheme="minorHAnsi" w:cstheme="minorHAnsi"/>
          <w:color w:val="0E101A"/>
        </w:rPr>
        <w:t>10% annual rate for the third consecutive quarter.</w:t>
      </w:r>
      <w:r>
        <w:rPr>
          <w:rFonts w:asciiTheme="minorHAnsi" w:hAnsiTheme="minorHAnsi" w:cstheme="minorHAnsi"/>
          <w:color w:val="0E101A"/>
        </w:rPr>
        <w:t xml:space="preserve">  </w:t>
      </w:r>
    </w:p>
    <w:p w14:paraId="720D96C2" w14:textId="77777777" w:rsidR="00611113" w:rsidRPr="00772C88" w:rsidRDefault="00611113" w:rsidP="00686FD2">
      <w:pPr>
        <w:pStyle w:val="NormalWeb"/>
        <w:spacing w:before="0" w:beforeAutospacing="0" w:after="0" w:afterAutospacing="0"/>
        <w:rPr>
          <w:rFonts w:asciiTheme="minorHAnsi" w:hAnsiTheme="minorHAnsi" w:cstheme="minorHAnsi"/>
          <w:color w:val="0E101A"/>
        </w:rPr>
      </w:pPr>
    </w:p>
    <w:p w14:paraId="189902E1" w14:textId="22672327" w:rsidR="00686FD2" w:rsidRDefault="00686FD2" w:rsidP="00686FD2">
      <w:pPr>
        <w:pStyle w:val="NormalWeb"/>
        <w:spacing w:before="0" w:beforeAutospacing="0" w:after="0" w:afterAutospacing="0"/>
        <w:rPr>
          <w:rFonts w:asciiTheme="minorHAnsi" w:hAnsiTheme="minorHAnsi" w:cstheme="minorHAnsi"/>
          <w:color w:val="0E101A"/>
        </w:rPr>
      </w:pPr>
      <w:r w:rsidRPr="00772C88">
        <w:rPr>
          <w:rFonts w:asciiTheme="minorHAnsi" w:hAnsiTheme="minorHAnsi" w:cstheme="minorHAnsi"/>
          <w:color w:val="0E101A"/>
        </w:rPr>
        <w:t xml:space="preserve">The cost of labor for the transportation and warehousing industry </w:t>
      </w:r>
      <w:r w:rsidR="007B7710">
        <w:rPr>
          <w:rFonts w:asciiTheme="minorHAnsi" w:hAnsiTheme="minorHAnsi" w:cstheme="minorHAnsi"/>
          <w:color w:val="0E101A"/>
        </w:rPr>
        <w:t>maintained the typical pace of growth at 3.</w:t>
      </w:r>
      <w:r w:rsidR="00290209">
        <w:rPr>
          <w:rFonts w:asciiTheme="minorHAnsi" w:hAnsiTheme="minorHAnsi" w:cstheme="minorHAnsi"/>
          <w:color w:val="0E101A"/>
        </w:rPr>
        <w:t>53</w:t>
      </w:r>
      <w:r w:rsidR="007B7710">
        <w:rPr>
          <w:rFonts w:asciiTheme="minorHAnsi" w:hAnsiTheme="minorHAnsi" w:cstheme="minorHAnsi"/>
          <w:color w:val="0E101A"/>
        </w:rPr>
        <w:t xml:space="preserve">% </w:t>
      </w:r>
      <w:r w:rsidR="00976913">
        <w:rPr>
          <w:rFonts w:asciiTheme="minorHAnsi" w:hAnsiTheme="minorHAnsi" w:cstheme="minorHAnsi"/>
          <w:color w:val="0E101A"/>
        </w:rPr>
        <w:t>in Q</w:t>
      </w:r>
      <w:r w:rsidR="00290209">
        <w:rPr>
          <w:rFonts w:asciiTheme="minorHAnsi" w:hAnsiTheme="minorHAnsi" w:cstheme="minorHAnsi"/>
          <w:color w:val="0E101A"/>
        </w:rPr>
        <w:t>3</w:t>
      </w:r>
      <w:r w:rsidR="00976913">
        <w:rPr>
          <w:rFonts w:asciiTheme="minorHAnsi" w:hAnsiTheme="minorHAnsi" w:cstheme="minorHAnsi"/>
          <w:color w:val="0E101A"/>
        </w:rPr>
        <w:t xml:space="preserve"> 2022</w:t>
      </w:r>
      <w:r w:rsidR="007B7710">
        <w:rPr>
          <w:rFonts w:asciiTheme="minorHAnsi" w:hAnsiTheme="minorHAnsi" w:cstheme="minorHAnsi"/>
          <w:color w:val="0E101A"/>
        </w:rPr>
        <w:t xml:space="preserve"> (Figure 3). </w:t>
      </w:r>
      <w:r w:rsidRPr="00772C88">
        <w:rPr>
          <w:rFonts w:asciiTheme="minorHAnsi" w:hAnsiTheme="minorHAnsi" w:cstheme="minorHAnsi"/>
          <w:color w:val="0E101A"/>
        </w:rPr>
        <w:t>Regional differences in employment costs were based on the employment cost index for all workers, whereas the national trends were specific to the transportation and warehousing industry. The highest annual growth rate in labor costs was in the M</w:t>
      </w:r>
      <w:r w:rsidR="00290209">
        <w:rPr>
          <w:rFonts w:asciiTheme="minorHAnsi" w:hAnsiTheme="minorHAnsi" w:cstheme="minorHAnsi"/>
          <w:color w:val="0E101A"/>
        </w:rPr>
        <w:t>idwest</w:t>
      </w:r>
      <w:r w:rsidRPr="00772C88">
        <w:rPr>
          <w:rFonts w:asciiTheme="minorHAnsi" w:hAnsiTheme="minorHAnsi" w:cstheme="minorHAnsi"/>
          <w:color w:val="0E101A"/>
        </w:rPr>
        <w:t xml:space="preserve"> region where labor costs grew by 5.</w:t>
      </w:r>
      <w:r w:rsidR="00290209">
        <w:rPr>
          <w:rFonts w:asciiTheme="minorHAnsi" w:hAnsiTheme="minorHAnsi" w:cstheme="minorHAnsi"/>
          <w:color w:val="0E101A"/>
        </w:rPr>
        <w:t>78</w:t>
      </w:r>
      <w:r w:rsidRPr="00772C88">
        <w:rPr>
          <w:rFonts w:asciiTheme="minorHAnsi" w:hAnsiTheme="minorHAnsi" w:cstheme="minorHAnsi"/>
          <w:color w:val="0E101A"/>
        </w:rPr>
        <w:t xml:space="preserve">%. </w:t>
      </w:r>
      <w:r w:rsidR="00BD4443">
        <w:rPr>
          <w:rFonts w:asciiTheme="minorHAnsi" w:hAnsiTheme="minorHAnsi" w:cstheme="minorHAnsi"/>
          <w:color w:val="0E101A"/>
        </w:rPr>
        <w:t xml:space="preserve"> The </w:t>
      </w:r>
      <w:r w:rsidR="00E110D9">
        <w:rPr>
          <w:rFonts w:asciiTheme="minorHAnsi" w:hAnsiTheme="minorHAnsi" w:cstheme="minorHAnsi"/>
          <w:color w:val="0E101A"/>
        </w:rPr>
        <w:t>Mountain</w:t>
      </w:r>
      <w:r w:rsidR="00BD4443">
        <w:rPr>
          <w:rFonts w:asciiTheme="minorHAnsi" w:hAnsiTheme="minorHAnsi" w:cstheme="minorHAnsi"/>
          <w:color w:val="0E101A"/>
        </w:rPr>
        <w:t xml:space="preserve"> and </w:t>
      </w:r>
      <w:r w:rsidR="00E110D9">
        <w:rPr>
          <w:rFonts w:asciiTheme="minorHAnsi" w:hAnsiTheme="minorHAnsi" w:cstheme="minorHAnsi"/>
          <w:color w:val="0E101A"/>
        </w:rPr>
        <w:t>New England</w:t>
      </w:r>
      <w:r w:rsidR="00BD4443">
        <w:rPr>
          <w:rFonts w:asciiTheme="minorHAnsi" w:hAnsiTheme="minorHAnsi" w:cstheme="minorHAnsi"/>
          <w:color w:val="0E101A"/>
        </w:rPr>
        <w:t xml:space="preserve"> </w:t>
      </w:r>
      <w:r w:rsidR="00DB7740">
        <w:rPr>
          <w:rFonts w:asciiTheme="minorHAnsi" w:hAnsiTheme="minorHAnsi" w:cstheme="minorHAnsi"/>
          <w:color w:val="0E101A"/>
        </w:rPr>
        <w:t xml:space="preserve">regions </w:t>
      </w:r>
      <w:r w:rsidR="00BD4443">
        <w:rPr>
          <w:rFonts w:asciiTheme="minorHAnsi" w:hAnsiTheme="minorHAnsi" w:cstheme="minorHAnsi"/>
          <w:color w:val="0E101A"/>
        </w:rPr>
        <w:t>were close behind having an overall regional labor cost growth rate of 5.</w:t>
      </w:r>
      <w:r w:rsidR="00E110D9">
        <w:rPr>
          <w:rFonts w:asciiTheme="minorHAnsi" w:hAnsiTheme="minorHAnsi" w:cstheme="minorHAnsi"/>
          <w:color w:val="0E101A"/>
        </w:rPr>
        <w:t>43</w:t>
      </w:r>
      <w:r w:rsidR="00BD4443">
        <w:rPr>
          <w:rFonts w:asciiTheme="minorHAnsi" w:hAnsiTheme="minorHAnsi" w:cstheme="minorHAnsi"/>
          <w:color w:val="0E101A"/>
        </w:rPr>
        <w:t xml:space="preserve">% </w:t>
      </w:r>
      <w:r w:rsidR="00E110D9">
        <w:rPr>
          <w:rFonts w:asciiTheme="minorHAnsi" w:hAnsiTheme="minorHAnsi" w:cstheme="minorHAnsi"/>
          <w:color w:val="0E101A"/>
        </w:rPr>
        <w:t xml:space="preserve">and 5.32% respectively </w:t>
      </w:r>
      <w:r w:rsidR="00BD4443">
        <w:rPr>
          <w:rFonts w:asciiTheme="minorHAnsi" w:hAnsiTheme="minorHAnsi" w:cstheme="minorHAnsi"/>
          <w:color w:val="0E101A"/>
        </w:rPr>
        <w:t xml:space="preserve">for the </w:t>
      </w:r>
      <w:r w:rsidR="00E110D9">
        <w:rPr>
          <w:rFonts w:asciiTheme="minorHAnsi" w:hAnsiTheme="minorHAnsi" w:cstheme="minorHAnsi"/>
          <w:color w:val="0E101A"/>
        </w:rPr>
        <w:t>third</w:t>
      </w:r>
      <w:r w:rsidR="00BD4443">
        <w:rPr>
          <w:rFonts w:asciiTheme="minorHAnsi" w:hAnsiTheme="minorHAnsi" w:cstheme="minorHAnsi"/>
          <w:color w:val="0E101A"/>
        </w:rPr>
        <w:t xml:space="preserve"> quarter of 2022. </w:t>
      </w:r>
    </w:p>
    <w:p w14:paraId="7CCECFB7" w14:textId="77777777" w:rsidR="00772C88" w:rsidRPr="00772C88" w:rsidRDefault="00772C88" w:rsidP="00686FD2">
      <w:pPr>
        <w:pStyle w:val="NormalWeb"/>
        <w:spacing w:before="0" w:beforeAutospacing="0" w:after="0" w:afterAutospacing="0"/>
        <w:rPr>
          <w:rFonts w:asciiTheme="minorHAnsi" w:hAnsiTheme="minorHAnsi" w:cstheme="minorHAnsi"/>
          <w:color w:val="0E101A"/>
        </w:rPr>
      </w:pPr>
    </w:p>
    <w:p w14:paraId="41102D28" w14:textId="3C6F3C1C" w:rsidR="00686FD2" w:rsidRDefault="00686FD2" w:rsidP="00686FD2">
      <w:pPr>
        <w:pStyle w:val="NormalWeb"/>
        <w:spacing w:before="0" w:beforeAutospacing="0" w:after="0" w:afterAutospacing="0"/>
        <w:rPr>
          <w:rFonts w:asciiTheme="minorHAnsi" w:hAnsiTheme="minorHAnsi" w:cstheme="minorHAnsi"/>
          <w:color w:val="0E101A"/>
        </w:rPr>
      </w:pPr>
      <w:r w:rsidRPr="00772C88">
        <w:rPr>
          <w:rFonts w:asciiTheme="minorHAnsi" w:hAnsiTheme="minorHAnsi" w:cstheme="minorHAnsi"/>
          <w:color w:val="0E101A"/>
        </w:rPr>
        <w:t>The national supplies price index, which is the producer price index (PPI) for final demand finished goods</w:t>
      </w:r>
      <w:r w:rsidR="008F6444">
        <w:rPr>
          <w:rFonts w:asciiTheme="minorHAnsi" w:hAnsiTheme="minorHAnsi" w:cstheme="minorHAnsi"/>
          <w:color w:val="0E101A"/>
        </w:rPr>
        <w:t>,</w:t>
      </w:r>
      <w:r w:rsidRPr="00772C88">
        <w:rPr>
          <w:rFonts w:asciiTheme="minorHAnsi" w:hAnsiTheme="minorHAnsi" w:cstheme="minorHAnsi"/>
          <w:color w:val="0E101A"/>
        </w:rPr>
        <w:t xml:space="preserve"> not including food and energy</w:t>
      </w:r>
      <w:r w:rsidR="008F6444">
        <w:rPr>
          <w:rFonts w:asciiTheme="minorHAnsi" w:hAnsiTheme="minorHAnsi" w:cstheme="minorHAnsi"/>
          <w:color w:val="0E101A"/>
        </w:rPr>
        <w:t>,</w:t>
      </w:r>
      <w:r w:rsidRPr="00772C88">
        <w:rPr>
          <w:rFonts w:asciiTheme="minorHAnsi" w:hAnsiTheme="minorHAnsi" w:cstheme="minorHAnsi"/>
          <w:color w:val="0E101A"/>
        </w:rPr>
        <w:t xml:space="preserve"> grew by 8.</w:t>
      </w:r>
      <w:r w:rsidR="00E110D9">
        <w:rPr>
          <w:rFonts w:asciiTheme="minorHAnsi" w:hAnsiTheme="minorHAnsi" w:cstheme="minorHAnsi"/>
          <w:color w:val="0E101A"/>
        </w:rPr>
        <w:t>13</w:t>
      </w:r>
      <w:r w:rsidRPr="00772C88">
        <w:rPr>
          <w:rFonts w:asciiTheme="minorHAnsi" w:hAnsiTheme="minorHAnsi" w:cstheme="minorHAnsi"/>
          <w:color w:val="0E101A"/>
        </w:rPr>
        <w:t>% in Q</w:t>
      </w:r>
      <w:r w:rsidR="00E110D9">
        <w:rPr>
          <w:rFonts w:asciiTheme="minorHAnsi" w:hAnsiTheme="minorHAnsi" w:cstheme="minorHAnsi"/>
          <w:color w:val="0E101A"/>
        </w:rPr>
        <w:t>3</w:t>
      </w:r>
      <w:r w:rsidRPr="00772C88">
        <w:rPr>
          <w:rFonts w:asciiTheme="minorHAnsi" w:hAnsiTheme="minorHAnsi" w:cstheme="minorHAnsi"/>
          <w:color w:val="0E101A"/>
        </w:rPr>
        <w:t xml:space="preserve"> 2022</w:t>
      </w:r>
      <w:r w:rsidR="00E110D9">
        <w:rPr>
          <w:rFonts w:asciiTheme="minorHAnsi" w:hAnsiTheme="minorHAnsi" w:cstheme="minorHAnsi"/>
          <w:color w:val="0E101A"/>
        </w:rPr>
        <w:t xml:space="preserve"> showing a slight decrease compared to the previous quarter.</w:t>
      </w:r>
      <w:r w:rsidRPr="00772C88">
        <w:rPr>
          <w:rFonts w:asciiTheme="minorHAnsi" w:hAnsiTheme="minorHAnsi" w:cstheme="minorHAnsi"/>
          <w:color w:val="0E101A"/>
        </w:rPr>
        <w:t xml:space="preserve"> </w:t>
      </w:r>
      <w:r w:rsidR="00E110D9">
        <w:rPr>
          <w:rFonts w:asciiTheme="minorHAnsi" w:hAnsiTheme="minorHAnsi" w:cstheme="minorHAnsi"/>
          <w:color w:val="0E101A"/>
        </w:rPr>
        <w:t xml:space="preserve">But still </w:t>
      </w:r>
      <w:r w:rsidR="00051E26">
        <w:rPr>
          <w:rFonts w:asciiTheme="minorHAnsi" w:hAnsiTheme="minorHAnsi" w:cstheme="minorHAnsi"/>
          <w:color w:val="0E101A"/>
        </w:rPr>
        <w:t xml:space="preserve">this was </w:t>
      </w:r>
      <w:r w:rsidR="00E110D9">
        <w:rPr>
          <w:rFonts w:asciiTheme="minorHAnsi" w:hAnsiTheme="minorHAnsi" w:cstheme="minorHAnsi"/>
          <w:color w:val="0E101A"/>
        </w:rPr>
        <w:t xml:space="preserve">the second </w:t>
      </w:r>
      <w:r w:rsidRPr="00772C88">
        <w:rPr>
          <w:rFonts w:asciiTheme="minorHAnsi" w:hAnsiTheme="minorHAnsi" w:cstheme="minorHAnsi"/>
          <w:color w:val="0E101A"/>
        </w:rPr>
        <w:t>highest year-over-year increase in the</w:t>
      </w:r>
      <w:r w:rsidR="00D13126">
        <w:rPr>
          <w:rFonts w:asciiTheme="minorHAnsi" w:hAnsiTheme="minorHAnsi" w:cstheme="minorHAnsi"/>
          <w:color w:val="0E101A"/>
        </w:rPr>
        <w:t xml:space="preserve"> price of</w:t>
      </w:r>
      <w:r w:rsidRPr="00772C88">
        <w:rPr>
          <w:rFonts w:asciiTheme="minorHAnsi" w:hAnsiTheme="minorHAnsi" w:cstheme="minorHAnsi"/>
          <w:color w:val="0E101A"/>
        </w:rPr>
        <w:t xml:space="preserve"> supplies over the past twenty years</w:t>
      </w:r>
      <w:r w:rsidR="00051E26">
        <w:rPr>
          <w:rFonts w:asciiTheme="minorHAnsi" w:hAnsiTheme="minorHAnsi" w:cstheme="minorHAnsi"/>
          <w:color w:val="0E101A"/>
        </w:rPr>
        <w:t>.</w:t>
      </w:r>
    </w:p>
    <w:p w14:paraId="18B29B7F" w14:textId="77777777" w:rsidR="00772C88" w:rsidRPr="00772C88" w:rsidRDefault="00772C88" w:rsidP="00686FD2">
      <w:pPr>
        <w:pStyle w:val="NormalWeb"/>
        <w:spacing w:before="0" w:beforeAutospacing="0" w:after="0" w:afterAutospacing="0"/>
        <w:rPr>
          <w:rFonts w:asciiTheme="minorHAnsi" w:hAnsiTheme="minorHAnsi" w:cstheme="minorHAnsi"/>
          <w:color w:val="0E101A"/>
        </w:rPr>
      </w:pPr>
    </w:p>
    <w:p w14:paraId="2C5FB4A3" w14:textId="77777777" w:rsidR="00686FD2" w:rsidRDefault="00686FD2" w:rsidP="00686FD2">
      <w:pPr>
        <w:pStyle w:val="NormalWeb"/>
        <w:spacing w:before="0" w:beforeAutospacing="0" w:after="0" w:afterAutospacing="0"/>
        <w:rPr>
          <w:color w:val="0E101A"/>
        </w:rPr>
      </w:pPr>
    </w:p>
    <w:p w14:paraId="6C931EBA" w14:textId="469A7B0A" w:rsidR="00945980" w:rsidRDefault="00945980" w:rsidP="00945980">
      <w:pPr>
        <w:keepNext/>
        <w:pBdr>
          <w:top w:val="nil"/>
          <w:left w:val="nil"/>
          <w:bottom w:val="nil"/>
          <w:right w:val="nil"/>
          <w:between w:val="nil"/>
        </w:pBdr>
        <w:spacing w:after="200"/>
        <w:rPr>
          <w:i/>
          <w:color w:val="44546A"/>
          <w:sz w:val="19"/>
          <w:szCs w:val="19"/>
        </w:rPr>
      </w:pPr>
      <w:r>
        <w:rPr>
          <w:i/>
          <w:color w:val="44546A"/>
          <w:sz w:val="19"/>
          <w:szCs w:val="19"/>
        </w:rPr>
        <w:lastRenderedPageBreak/>
        <w:t>Figure 2. Cold Chain Index, by Quarter during 20</w:t>
      </w:r>
      <w:r w:rsidR="002F636E">
        <w:rPr>
          <w:i/>
          <w:color w:val="44546A"/>
          <w:sz w:val="19"/>
          <w:szCs w:val="19"/>
        </w:rPr>
        <w:t>19</w:t>
      </w:r>
      <w:r>
        <w:rPr>
          <w:i/>
          <w:color w:val="44546A"/>
          <w:sz w:val="19"/>
          <w:szCs w:val="19"/>
        </w:rPr>
        <w:t>-202</w:t>
      </w:r>
      <w:r w:rsidR="002F636E">
        <w:rPr>
          <w:i/>
          <w:color w:val="44546A"/>
          <w:sz w:val="19"/>
          <w:szCs w:val="19"/>
        </w:rPr>
        <w:t>2</w:t>
      </w:r>
    </w:p>
    <w:p w14:paraId="630EBEE1" w14:textId="77777777" w:rsidR="00945980" w:rsidRDefault="00945980" w:rsidP="00945980">
      <w:pPr>
        <w:keepNext/>
        <w:pBdr>
          <w:top w:val="nil"/>
          <w:left w:val="nil"/>
          <w:bottom w:val="nil"/>
          <w:right w:val="nil"/>
          <w:between w:val="nil"/>
        </w:pBdr>
        <w:spacing w:after="200"/>
        <w:rPr>
          <w:i/>
          <w:color w:val="44546A"/>
          <w:sz w:val="19"/>
          <w:szCs w:val="19"/>
        </w:rPr>
      </w:pPr>
      <w:r>
        <w:rPr>
          <w:i/>
          <w:noProof/>
          <w:color w:val="44546A"/>
          <w:sz w:val="19"/>
          <w:szCs w:val="19"/>
        </w:rPr>
        <w:drawing>
          <wp:inline distT="0" distB="0" distL="0" distR="0" wp14:anchorId="209BD91F" wp14:editId="1D484C72">
            <wp:extent cx="6143625" cy="2500132"/>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BD9A93" w14:textId="77777777" w:rsidR="00945980" w:rsidRDefault="00945980" w:rsidP="00945980">
      <w:pPr>
        <w:spacing w:after="0"/>
        <w:jc w:val="both"/>
        <w:rPr>
          <w:i/>
          <w:sz w:val="18"/>
          <w:szCs w:val="18"/>
        </w:rPr>
      </w:pPr>
      <w:r>
        <w:rPr>
          <w:i/>
          <w:sz w:val="18"/>
          <w:szCs w:val="18"/>
        </w:rPr>
        <w:t xml:space="preserve">Note: The percentages in Figure 2 are growth rates in the quarter, relative to the same quarter in the previous year. </w:t>
      </w:r>
    </w:p>
    <w:p w14:paraId="4FDFD544" w14:textId="77777777" w:rsidR="00945980" w:rsidRDefault="00945980" w:rsidP="00945980">
      <w:pPr>
        <w:spacing w:after="0"/>
        <w:jc w:val="both"/>
        <w:rPr>
          <w:i/>
          <w:sz w:val="18"/>
          <w:szCs w:val="18"/>
        </w:rPr>
      </w:pPr>
    </w:p>
    <w:p w14:paraId="59055FB4" w14:textId="77777777" w:rsidR="00945980" w:rsidRDefault="00945980" w:rsidP="00945980">
      <w:pPr>
        <w:spacing w:after="0"/>
        <w:jc w:val="both"/>
        <w:rPr>
          <w:i/>
          <w:sz w:val="18"/>
          <w:szCs w:val="18"/>
        </w:rPr>
      </w:pPr>
    </w:p>
    <w:p w14:paraId="3E35599A" w14:textId="5425DECA" w:rsidR="00945980" w:rsidRDefault="00945980" w:rsidP="00945980">
      <w:pPr>
        <w:keepNext/>
        <w:pBdr>
          <w:top w:val="nil"/>
          <w:left w:val="nil"/>
          <w:bottom w:val="nil"/>
          <w:right w:val="nil"/>
          <w:between w:val="nil"/>
        </w:pBdr>
        <w:spacing w:after="200"/>
        <w:jc w:val="both"/>
        <w:rPr>
          <w:i/>
          <w:color w:val="44546A"/>
          <w:sz w:val="19"/>
          <w:szCs w:val="19"/>
        </w:rPr>
      </w:pPr>
      <w:r>
        <w:rPr>
          <w:i/>
          <w:color w:val="44546A"/>
          <w:sz w:val="19"/>
          <w:szCs w:val="19"/>
        </w:rPr>
        <w:t>Figure 3. Main Drivers of the Cold Chain Index, by Quarter during 2018-202</w:t>
      </w:r>
      <w:r w:rsidR="002F636E">
        <w:rPr>
          <w:i/>
          <w:color w:val="44546A"/>
          <w:sz w:val="19"/>
          <w:szCs w:val="19"/>
        </w:rPr>
        <w:t>2</w:t>
      </w:r>
    </w:p>
    <w:p w14:paraId="1FBB414A" w14:textId="77777777" w:rsidR="00945980" w:rsidRDefault="00945980" w:rsidP="00945980">
      <w:pPr>
        <w:jc w:val="center"/>
      </w:pPr>
      <w:r>
        <w:rPr>
          <w:noProof/>
        </w:rPr>
        <w:drawing>
          <wp:inline distT="0" distB="0" distL="0" distR="0" wp14:anchorId="17C1932D" wp14:editId="21174AA4">
            <wp:extent cx="6181090" cy="3048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C46D47" w14:textId="77777777" w:rsidR="00945980" w:rsidRDefault="00945980" w:rsidP="00945980">
      <w:pPr>
        <w:spacing w:after="0"/>
        <w:jc w:val="both"/>
        <w:rPr>
          <w:i/>
          <w:sz w:val="18"/>
          <w:szCs w:val="18"/>
        </w:rPr>
      </w:pPr>
      <w:r>
        <w:rPr>
          <w:i/>
          <w:sz w:val="18"/>
          <w:szCs w:val="18"/>
        </w:rPr>
        <w:t xml:space="preserve">Note: The percentages in Figure 3 are growth rates in the quarter, relative to the same quarter in the previous year. </w:t>
      </w:r>
    </w:p>
    <w:p w14:paraId="23A11BE1" w14:textId="77777777" w:rsidR="00945980" w:rsidRDefault="00945980" w:rsidP="00945980">
      <w:pPr>
        <w:spacing w:line="259" w:lineRule="auto"/>
        <w:rPr>
          <w:b/>
        </w:rPr>
      </w:pPr>
    </w:p>
    <w:p w14:paraId="76B74D8B" w14:textId="77777777" w:rsidR="00945980" w:rsidRDefault="00945980" w:rsidP="00945980">
      <w:pPr>
        <w:jc w:val="both"/>
        <w:rPr>
          <w:b/>
        </w:rPr>
      </w:pPr>
    </w:p>
    <w:p w14:paraId="7126C049" w14:textId="77777777" w:rsidR="00945980" w:rsidRDefault="00945980" w:rsidP="00945980">
      <w:pPr>
        <w:rPr>
          <w:b/>
        </w:rPr>
      </w:pPr>
      <w:r>
        <w:rPr>
          <w:b/>
        </w:rPr>
        <w:br w:type="page"/>
      </w:r>
    </w:p>
    <w:p w14:paraId="76AB94D8" w14:textId="77777777" w:rsidR="00945980" w:rsidRDefault="00945980" w:rsidP="00945980">
      <w:pPr>
        <w:jc w:val="both"/>
        <w:rPr>
          <w:b/>
        </w:rPr>
      </w:pPr>
      <w:r>
        <w:rPr>
          <w:b/>
        </w:rPr>
        <w:lastRenderedPageBreak/>
        <w:t>Data References and Methods</w:t>
      </w:r>
    </w:p>
    <w:p w14:paraId="2F7A2B10" w14:textId="77777777" w:rsidR="00945980" w:rsidRDefault="00945980" w:rsidP="00945980">
      <w:pPr>
        <w:jc w:val="both"/>
      </w:pPr>
      <w:r>
        <w:t xml:space="preserve">The following data sources were used to track changes in costs: </w:t>
      </w:r>
    </w:p>
    <w:p w14:paraId="7CD2E3BE" w14:textId="77777777" w:rsidR="00945980" w:rsidRDefault="00945980" w:rsidP="00945980">
      <w:pPr>
        <w:numPr>
          <w:ilvl w:val="0"/>
          <w:numId w:val="1"/>
        </w:numPr>
        <w:pBdr>
          <w:top w:val="nil"/>
          <w:left w:val="nil"/>
          <w:bottom w:val="nil"/>
          <w:right w:val="nil"/>
          <w:between w:val="nil"/>
        </w:pBdr>
        <w:spacing w:before="120" w:after="120"/>
        <w:jc w:val="both"/>
      </w:pPr>
      <w:r>
        <w:rPr>
          <w:color w:val="000000"/>
        </w:rPr>
        <w:t xml:space="preserve">National Labor: The U.S. Bureau of Labor Statistics (BLS) Employment Cost Index (ECI) was used; specifically, the ECI for the private industry workers in the “Transportation and Warehousing" industry (Series ID </w:t>
      </w:r>
      <w:r>
        <w:rPr>
          <w:color w:val="000000"/>
          <w:sz w:val="22"/>
          <w:szCs w:val="22"/>
        </w:rPr>
        <w:t xml:space="preserve">CIU2014300000000I). </w:t>
      </w:r>
      <w:r>
        <w:rPr>
          <w:color w:val="000000"/>
        </w:rPr>
        <w:t xml:space="preserve">The labor metric includes all worker classifications and includes both wages and benefits. Accessed at </w:t>
      </w:r>
      <w:hyperlink r:id="rId13">
        <w:r>
          <w:rPr>
            <w:color w:val="0563C1"/>
            <w:u w:val="single"/>
          </w:rPr>
          <w:t>https://fred.stlouisfed.org/</w:t>
        </w:r>
      </w:hyperlink>
      <w:r>
        <w:rPr>
          <w:color w:val="000000"/>
        </w:rPr>
        <w:t xml:space="preserve"> using Series ID.</w:t>
      </w:r>
    </w:p>
    <w:p w14:paraId="4177F58C" w14:textId="77777777" w:rsidR="00945980" w:rsidRDefault="00945980" w:rsidP="00945980">
      <w:pPr>
        <w:numPr>
          <w:ilvl w:val="0"/>
          <w:numId w:val="1"/>
        </w:numPr>
        <w:pBdr>
          <w:top w:val="nil"/>
          <w:left w:val="nil"/>
          <w:bottom w:val="nil"/>
          <w:right w:val="nil"/>
          <w:between w:val="nil"/>
        </w:pBdr>
        <w:spacing w:before="120" w:after="120"/>
        <w:jc w:val="both"/>
      </w:pPr>
      <w:r>
        <w:rPr>
          <w:color w:val="000000"/>
        </w:rPr>
        <w:t xml:space="preserve">Regional Labor: The U.S. Bureau of Labor Statistics (BLS) Employment Cost Index (ECI) was used; specifically, the ECI for the private industry workers in all industries and occupations (Series IDs </w:t>
      </w:r>
      <w:r>
        <w:rPr>
          <w:color w:val="000000"/>
          <w:sz w:val="22"/>
          <w:szCs w:val="22"/>
        </w:rPr>
        <w:t xml:space="preserve">CIU2010000000230I, CIU2010000000249I, CIU2010000000220I, CIU2010000000212I, CIU2010000000248I, CIU2010000000211I). </w:t>
      </w:r>
      <w:r>
        <w:rPr>
          <w:color w:val="000000"/>
        </w:rPr>
        <w:t xml:space="preserve">The labor metric includes all worker classifications and includes both wages and benefits. Index is used to determine premium for each region relative to national baseline. Accessed at </w:t>
      </w:r>
      <w:hyperlink r:id="rId14">
        <w:r>
          <w:rPr>
            <w:color w:val="0563C1"/>
            <w:u w:val="single"/>
          </w:rPr>
          <w:t>https://fred.stlouisfed.org/</w:t>
        </w:r>
      </w:hyperlink>
      <w:r>
        <w:rPr>
          <w:color w:val="000000"/>
        </w:rPr>
        <w:t xml:space="preserve"> using Series ID.</w:t>
      </w:r>
    </w:p>
    <w:p w14:paraId="3213C9B6" w14:textId="00880313" w:rsidR="00945980" w:rsidRDefault="00945980" w:rsidP="00945980">
      <w:pPr>
        <w:numPr>
          <w:ilvl w:val="0"/>
          <w:numId w:val="1"/>
        </w:numPr>
        <w:pBdr>
          <w:top w:val="nil"/>
          <w:left w:val="nil"/>
          <w:bottom w:val="nil"/>
          <w:right w:val="nil"/>
          <w:between w:val="nil"/>
        </w:pBdr>
        <w:spacing w:before="120" w:after="120"/>
        <w:jc w:val="both"/>
      </w:pPr>
      <w:r>
        <w:rPr>
          <w:color w:val="000000"/>
        </w:rPr>
        <w:t>National and State Energy: The U.S. Energy Information Administration Electric Power Prices, by state, were used. The series is the Average Price of Electricity to Ultimate Customers. (Industrial) found in Table 5.6.</w:t>
      </w:r>
      <w:r w:rsidR="00BE75B0">
        <w:rPr>
          <w:color w:val="000000"/>
        </w:rPr>
        <w:t>b</w:t>
      </w:r>
      <w:r>
        <w:rPr>
          <w:color w:val="000000"/>
        </w:rPr>
        <w:t xml:space="preserve">. </w:t>
      </w:r>
      <w:r w:rsidR="00BE75B0">
        <w:rPr>
          <w:color w:val="000000"/>
        </w:rPr>
        <w:t xml:space="preserve">Beginning in 2022, EIA provided a quarterly estimate for each state. </w:t>
      </w:r>
      <w:r>
        <w:rPr>
          <w:color w:val="000000"/>
        </w:rPr>
        <w:t xml:space="preserve">Accessed at </w:t>
      </w:r>
      <w:hyperlink r:id="rId15">
        <w:r>
          <w:rPr>
            <w:color w:val="0563C1"/>
            <w:u w:val="single"/>
          </w:rPr>
          <w:t>https://www.eia.gov/electricity/monthly/</w:t>
        </w:r>
      </w:hyperlink>
      <w:r>
        <w:rPr>
          <w:color w:val="000000"/>
        </w:rPr>
        <w:t xml:space="preserve">. </w:t>
      </w:r>
    </w:p>
    <w:p w14:paraId="3C2E1A64" w14:textId="1315E362" w:rsidR="00945980" w:rsidRDefault="00945980" w:rsidP="00945980">
      <w:pPr>
        <w:numPr>
          <w:ilvl w:val="0"/>
          <w:numId w:val="1"/>
        </w:numPr>
        <w:pBdr>
          <w:top w:val="nil"/>
          <w:left w:val="nil"/>
          <w:bottom w:val="nil"/>
          <w:right w:val="nil"/>
          <w:between w:val="nil"/>
        </w:pBdr>
        <w:spacing w:before="120" w:after="120"/>
        <w:jc w:val="both"/>
      </w:pPr>
      <w:r>
        <w:rPr>
          <w:color w:val="000000"/>
        </w:rPr>
        <w:t xml:space="preserve">National and Metro Rent/Lease/Mortgage: Cushman &amp; Wakefield Quarterly Warehouse Net Asking Rents, were used. Overall U.S. rent is based on the average asking rents weighted by vacancy by market. In addition, a surcharge for rental rate growth in 80 selected metro markets was based on the same quarterly data provided by Cushman &amp; Wakefield. </w:t>
      </w:r>
      <w:r w:rsidR="003F2869">
        <w:rPr>
          <w:color w:val="000000"/>
        </w:rPr>
        <w:t xml:space="preserve"> Warehouse / Distribution category within Industrial Rents.  Accessed at </w:t>
      </w:r>
      <w:r w:rsidR="003F2869" w:rsidRPr="003F2869">
        <w:rPr>
          <w:color w:val="000000"/>
        </w:rPr>
        <w:t>https://www.cushmanwakefield.com/en/united-states/insights/us-marketbeats/us-industrial-marketbeat</w:t>
      </w:r>
    </w:p>
    <w:p w14:paraId="4FB74EE9" w14:textId="77777777" w:rsidR="00945980" w:rsidRDefault="00945980" w:rsidP="00945980">
      <w:pPr>
        <w:numPr>
          <w:ilvl w:val="0"/>
          <w:numId w:val="1"/>
        </w:numPr>
        <w:pBdr>
          <w:top w:val="nil"/>
          <w:left w:val="nil"/>
          <w:bottom w:val="nil"/>
          <w:right w:val="nil"/>
          <w:between w:val="nil"/>
        </w:pBdr>
        <w:spacing w:before="120" w:after="120"/>
        <w:jc w:val="both"/>
      </w:pPr>
      <w:r>
        <w:rPr>
          <w:color w:val="000000"/>
        </w:rPr>
        <w:t xml:space="preserve">National Supplies and “Other”: To represent the growth in supplies and also “other” warehouse expenses, the U.S. Bureau of Labor Statistics (BLS) Producer Price Index (PPI) was used; specifically Final Demand: finished goods less foods and energy (Series ID </w:t>
      </w:r>
      <w:r>
        <w:rPr>
          <w:color w:val="000000"/>
          <w:sz w:val="22"/>
          <w:szCs w:val="22"/>
        </w:rPr>
        <w:t xml:space="preserve">WPUFD4131). </w:t>
      </w:r>
      <w:r>
        <w:rPr>
          <w:color w:val="000000"/>
        </w:rPr>
        <w:t xml:space="preserve">Accessed at </w:t>
      </w:r>
      <w:hyperlink r:id="rId16">
        <w:r>
          <w:rPr>
            <w:color w:val="0563C1"/>
            <w:u w:val="single"/>
          </w:rPr>
          <w:t>https://fred.stlouisfed.org/</w:t>
        </w:r>
      </w:hyperlink>
      <w:r>
        <w:rPr>
          <w:color w:val="000000"/>
        </w:rPr>
        <w:t xml:space="preserve"> using Series ID.</w:t>
      </w:r>
    </w:p>
    <w:p w14:paraId="465B1FA7" w14:textId="77777777" w:rsidR="00945980" w:rsidRDefault="00945980" w:rsidP="00945980">
      <w:pPr>
        <w:numPr>
          <w:ilvl w:val="0"/>
          <w:numId w:val="1"/>
        </w:numPr>
        <w:pBdr>
          <w:top w:val="nil"/>
          <w:left w:val="nil"/>
          <w:bottom w:val="nil"/>
          <w:right w:val="nil"/>
          <w:between w:val="nil"/>
        </w:pBdr>
        <w:spacing w:before="120" w:after="120"/>
        <w:jc w:val="both"/>
      </w:pPr>
      <w:r>
        <w:rPr>
          <w:color w:val="000000"/>
        </w:rPr>
        <w:t xml:space="preserve">National Maintenance: To represent the growth in repair and maintenance cost, the U.S. Bureau of Labor Statistics (BLS) Producer Price Index (PPI) by Industry was used; specifically Nonresidential building maintenance and repair (Series ID PCU2381MR2381MR). Accessed at </w:t>
      </w:r>
      <w:hyperlink r:id="rId17">
        <w:r>
          <w:rPr>
            <w:color w:val="0563C1"/>
            <w:u w:val="single"/>
          </w:rPr>
          <w:t>https://fred.stlouisfed.org/</w:t>
        </w:r>
      </w:hyperlink>
      <w:r>
        <w:rPr>
          <w:color w:val="000000"/>
        </w:rPr>
        <w:t xml:space="preserve"> using Series ID.</w:t>
      </w:r>
    </w:p>
    <w:p w14:paraId="30DA2FCC" w14:textId="77777777" w:rsidR="00945980" w:rsidRDefault="00945980" w:rsidP="00945980">
      <w:pPr>
        <w:pBdr>
          <w:top w:val="nil"/>
          <w:left w:val="nil"/>
          <w:bottom w:val="nil"/>
          <w:right w:val="nil"/>
          <w:between w:val="nil"/>
        </w:pBdr>
        <w:spacing w:before="120" w:after="120"/>
        <w:ind w:left="360"/>
        <w:jc w:val="both"/>
        <w:rPr>
          <w:color w:val="000000"/>
        </w:rPr>
      </w:pPr>
    </w:p>
    <w:p w14:paraId="3D686EB0" w14:textId="77777777" w:rsidR="00945980" w:rsidRDefault="00945980" w:rsidP="00945980"/>
    <w:p w14:paraId="6A6B3E03" w14:textId="77777777" w:rsidR="00945980" w:rsidRDefault="00945980" w:rsidP="00945980"/>
    <w:p w14:paraId="50EB9134" w14:textId="77777777" w:rsidR="00846137" w:rsidRDefault="00846137"/>
    <w:sectPr w:rsidR="00846137">
      <w:footerReference w:type="default" r:id="rId18"/>
      <w:pgSz w:w="12240" w:h="15840"/>
      <w:pgMar w:top="1440" w:right="1080" w:bottom="1440" w:left="108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4D83" w14:textId="77777777" w:rsidR="00C4547B" w:rsidRDefault="00C4547B" w:rsidP="00945980">
      <w:pPr>
        <w:spacing w:after="0"/>
      </w:pPr>
      <w:r>
        <w:separator/>
      </w:r>
    </w:p>
  </w:endnote>
  <w:endnote w:type="continuationSeparator" w:id="0">
    <w:p w14:paraId="137D4509" w14:textId="77777777" w:rsidR="00C4547B" w:rsidRDefault="00C4547B" w:rsidP="00945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F370" w14:textId="77777777" w:rsidR="00AB0A2B" w:rsidRDefault="00BF2417">
    <w:pPr>
      <w:pBdr>
        <w:top w:val="nil"/>
        <w:left w:val="nil"/>
        <w:bottom w:val="nil"/>
        <w:right w:val="nil"/>
        <w:between w:val="nil"/>
      </w:pBdr>
      <w:tabs>
        <w:tab w:val="center" w:pos="4680"/>
        <w:tab w:val="right" w:pos="9360"/>
      </w:tabs>
      <w:spacing w:after="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14:paraId="35D30C38" w14:textId="77777777" w:rsidR="00AB0A2B" w:rsidRDefault="00000000">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4FDD" w14:textId="77777777" w:rsidR="00C4547B" w:rsidRDefault="00C4547B" w:rsidP="00945980">
      <w:pPr>
        <w:spacing w:after="0"/>
      </w:pPr>
      <w:r>
        <w:separator/>
      </w:r>
    </w:p>
  </w:footnote>
  <w:footnote w:type="continuationSeparator" w:id="0">
    <w:p w14:paraId="2BBF145A" w14:textId="77777777" w:rsidR="00C4547B" w:rsidRDefault="00C4547B" w:rsidP="00945980">
      <w:pPr>
        <w:spacing w:after="0"/>
      </w:pPr>
      <w:r>
        <w:continuationSeparator/>
      </w:r>
    </w:p>
  </w:footnote>
  <w:footnote w:id="1">
    <w:p w14:paraId="1157EA66" w14:textId="77777777" w:rsidR="00945980" w:rsidRDefault="00945980" w:rsidP="00945980">
      <w:pPr>
        <w:pBdr>
          <w:top w:val="nil"/>
          <w:left w:val="nil"/>
          <w:bottom w:val="nil"/>
          <w:right w:val="nil"/>
          <w:between w:val="nil"/>
        </w:pBdr>
        <w:spacing w:after="0"/>
        <w:jc w:val="both"/>
        <w:rPr>
          <w:color w:val="000000"/>
          <w:sz w:val="20"/>
          <w:szCs w:val="20"/>
        </w:rPr>
      </w:pPr>
      <w:r>
        <w:rPr>
          <w:rStyle w:val="FootnoteReference"/>
        </w:rPr>
        <w:footnoteRef/>
      </w:r>
      <w:r>
        <w:rPr>
          <w:color w:val="000000"/>
          <w:sz w:val="18"/>
          <w:szCs w:val="18"/>
        </w:rPr>
        <w:t xml:space="preserve"> The regions in the CCI are from the Bureau of Labor Statistics geographic information: </w:t>
      </w:r>
      <w:r>
        <w:rPr>
          <w:b/>
          <w:color w:val="000000"/>
          <w:sz w:val="18"/>
          <w:szCs w:val="18"/>
        </w:rPr>
        <w:t>Mid-Atlantic</w:t>
      </w:r>
      <w:r>
        <w:rPr>
          <w:color w:val="000000"/>
          <w:sz w:val="18"/>
          <w:szCs w:val="18"/>
        </w:rPr>
        <w:t xml:space="preserve"> = New Jersey, New York, Pennsylvania. </w:t>
      </w:r>
      <w:r>
        <w:rPr>
          <w:b/>
          <w:color w:val="000000"/>
          <w:sz w:val="18"/>
          <w:szCs w:val="18"/>
        </w:rPr>
        <w:t>New England</w:t>
      </w:r>
      <w:r>
        <w:rPr>
          <w:color w:val="000000"/>
          <w:sz w:val="18"/>
          <w:szCs w:val="18"/>
        </w:rPr>
        <w:t xml:space="preserve"> = Connecticut, Maine, Massachusetts, New Hampshire, Rhode Island, Vermont. </w:t>
      </w:r>
      <w:r>
        <w:rPr>
          <w:b/>
          <w:color w:val="000000"/>
          <w:sz w:val="18"/>
          <w:szCs w:val="18"/>
        </w:rPr>
        <w:t>South</w:t>
      </w:r>
      <w:r>
        <w:rPr>
          <w:color w:val="000000"/>
          <w:sz w:val="18"/>
          <w:szCs w:val="18"/>
        </w:rPr>
        <w:t xml:space="preserve"> = Alabama, Arkansas, Delaware, District of Columbia, Florida, Georgia, Kentucky, Louisiana, Maryland, Mississippi, North Carolina, Oklahoma, South Carolina, Tennessee, Texas, Virginia, West Virginia. </w:t>
      </w:r>
      <w:r>
        <w:rPr>
          <w:b/>
          <w:color w:val="000000"/>
          <w:sz w:val="18"/>
          <w:szCs w:val="18"/>
        </w:rPr>
        <w:t>Midwest</w:t>
      </w:r>
      <w:r>
        <w:rPr>
          <w:color w:val="000000"/>
          <w:sz w:val="18"/>
          <w:szCs w:val="18"/>
        </w:rPr>
        <w:t xml:space="preserve"> = Illinois, Indiana, Iowa, Kansas, Michigan, Minnesota, Missouri, Nebraska, North Dakota, Ohio, South Dakota, Wisconsin.  </w:t>
      </w:r>
      <w:r>
        <w:rPr>
          <w:b/>
          <w:color w:val="000000"/>
          <w:sz w:val="18"/>
          <w:szCs w:val="18"/>
        </w:rPr>
        <w:t>Pacific</w:t>
      </w:r>
      <w:r>
        <w:rPr>
          <w:color w:val="000000"/>
          <w:sz w:val="18"/>
          <w:szCs w:val="18"/>
        </w:rPr>
        <w:t xml:space="preserve"> = Alaska, California, Hawaii, Oregon, Washington.  </w:t>
      </w:r>
      <w:r>
        <w:rPr>
          <w:b/>
          <w:color w:val="000000"/>
          <w:sz w:val="18"/>
          <w:szCs w:val="18"/>
        </w:rPr>
        <w:t>Mountain</w:t>
      </w:r>
      <w:r>
        <w:rPr>
          <w:color w:val="000000"/>
          <w:sz w:val="18"/>
          <w:szCs w:val="18"/>
        </w:rPr>
        <w:t xml:space="preserve"> = Arizona, Colorado, Idaho, Montana, Nevada, New Mexico, Utah, Wyoming.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702D6"/>
    <w:multiLevelType w:val="multilevel"/>
    <w:tmpl w:val="16CCE8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18933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80"/>
    <w:rsid w:val="0000323B"/>
    <w:rsid w:val="000134F5"/>
    <w:rsid w:val="00015474"/>
    <w:rsid w:val="00032E8D"/>
    <w:rsid w:val="0004040F"/>
    <w:rsid w:val="000427DF"/>
    <w:rsid w:val="00046486"/>
    <w:rsid w:val="00051E26"/>
    <w:rsid w:val="00064196"/>
    <w:rsid w:val="0009675E"/>
    <w:rsid w:val="000A144C"/>
    <w:rsid w:val="000B1DE6"/>
    <w:rsid w:val="000B276E"/>
    <w:rsid w:val="000E0314"/>
    <w:rsid w:val="00110B9F"/>
    <w:rsid w:val="00125FF8"/>
    <w:rsid w:val="00141FF8"/>
    <w:rsid w:val="00181F93"/>
    <w:rsid w:val="00191205"/>
    <w:rsid w:val="001B7342"/>
    <w:rsid w:val="002163AA"/>
    <w:rsid w:val="00224755"/>
    <w:rsid w:val="00231D00"/>
    <w:rsid w:val="0027027D"/>
    <w:rsid w:val="00290209"/>
    <w:rsid w:val="00293D40"/>
    <w:rsid w:val="00297F93"/>
    <w:rsid w:val="002A4E33"/>
    <w:rsid w:val="002F0D6D"/>
    <w:rsid w:val="002F636E"/>
    <w:rsid w:val="003050C2"/>
    <w:rsid w:val="00324BDA"/>
    <w:rsid w:val="0033308E"/>
    <w:rsid w:val="0035683E"/>
    <w:rsid w:val="00382F6D"/>
    <w:rsid w:val="0038665D"/>
    <w:rsid w:val="003901DE"/>
    <w:rsid w:val="003A175D"/>
    <w:rsid w:val="003C49E9"/>
    <w:rsid w:val="003C7AFB"/>
    <w:rsid w:val="003D7FBF"/>
    <w:rsid w:val="003F05EB"/>
    <w:rsid w:val="003F2869"/>
    <w:rsid w:val="0042042D"/>
    <w:rsid w:val="00437176"/>
    <w:rsid w:val="00444EEE"/>
    <w:rsid w:val="004543B0"/>
    <w:rsid w:val="004B36E6"/>
    <w:rsid w:val="004D6C27"/>
    <w:rsid w:val="00527C67"/>
    <w:rsid w:val="00555CAA"/>
    <w:rsid w:val="005667D0"/>
    <w:rsid w:val="00583032"/>
    <w:rsid w:val="005858E7"/>
    <w:rsid w:val="005B124C"/>
    <w:rsid w:val="005E205B"/>
    <w:rsid w:val="0060130E"/>
    <w:rsid w:val="00606B1A"/>
    <w:rsid w:val="00611113"/>
    <w:rsid w:val="0061168D"/>
    <w:rsid w:val="00614479"/>
    <w:rsid w:val="00654DAA"/>
    <w:rsid w:val="00660A0D"/>
    <w:rsid w:val="006747F5"/>
    <w:rsid w:val="0068420D"/>
    <w:rsid w:val="00686FD2"/>
    <w:rsid w:val="00691C74"/>
    <w:rsid w:val="00694E4F"/>
    <w:rsid w:val="006A5358"/>
    <w:rsid w:val="006A743C"/>
    <w:rsid w:val="006D1F70"/>
    <w:rsid w:val="0072456E"/>
    <w:rsid w:val="00745AC5"/>
    <w:rsid w:val="00746C91"/>
    <w:rsid w:val="007542C9"/>
    <w:rsid w:val="00772C88"/>
    <w:rsid w:val="00781DE5"/>
    <w:rsid w:val="00784B7F"/>
    <w:rsid w:val="007B7710"/>
    <w:rsid w:val="007C2381"/>
    <w:rsid w:val="007D3F34"/>
    <w:rsid w:val="00803C0E"/>
    <w:rsid w:val="00805462"/>
    <w:rsid w:val="00846137"/>
    <w:rsid w:val="00853672"/>
    <w:rsid w:val="00853863"/>
    <w:rsid w:val="00860440"/>
    <w:rsid w:val="0086797C"/>
    <w:rsid w:val="00885698"/>
    <w:rsid w:val="008A6240"/>
    <w:rsid w:val="008B3BD0"/>
    <w:rsid w:val="008C488F"/>
    <w:rsid w:val="008D5164"/>
    <w:rsid w:val="008F6444"/>
    <w:rsid w:val="008F7EDD"/>
    <w:rsid w:val="009019EA"/>
    <w:rsid w:val="009043DC"/>
    <w:rsid w:val="00906B14"/>
    <w:rsid w:val="00911E5C"/>
    <w:rsid w:val="00923191"/>
    <w:rsid w:val="00943DBC"/>
    <w:rsid w:val="00945980"/>
    <w:rsid w:val="00966340"/>
    <w:rsid w:val="00976913"/>
    <w:rsid w:val="009827FE"/>
    <w:rsid w:val="009B3188"/>
    <w:rsid w:val="009D280E"/>
    <w:rsid w:val="009D746B"/>
    <w:rsid w:val="00A26179"/>
    <w:rsid w:val="00A35CF9"/>
    <w:rsid w:val="00A364C3"/>
    <w:rsid w:val="00A45BA6"/>
    <w:rsid w:val="00A941B7"/>
    <w:rsid w:val="00AA6495"/>
    <w:rsid w:val="00AC2190"/>
    <w:rsid w:val="00B41092"/>
    <w:rsid w:val="00B51D5E"/>
    <w:rsid w:val="00B75222"/>
    <w:rsid w:val="00BD4443"/>
    <w:rsid w:val="00BD7896"/>
    <w:rsid w:val="00BE21AF"/>
    <w:rsid w:val="00BE75B0"/>
    <w:rsid w:val="00BF2417"/>
    <w:rsid w:val="00BF38B7"/>
    <w:rsid w:val="00BF5767"/>
    <w:rsid w:val="00C15A9A"/>
    <w:rsid w:val="00C22806"/>
    <w:rsid w:val="00C23302"/>
    <w:rsid w:val="00C316FA"/>
    <w:rsid w:val="00C4547B"/>
    <w:rsid w:val="00C46A2B"/>
    <w:rsid w:val="00C702D9"/>
    <w:rsid w:val="00C95359"/>
    <w:rsid w:val="00CB7A8D"/>
    <w:rsid w:val="00D065D6"/>
    <w:rsid w:val="00D06AA2"/>
    <w:rsid w:val="00D13126"/>
    <w:rsid w:val="00D1693A"/>
    <w:rsid w:val="00D26013"/>
    <w:rsid w:val="00D32D85"/>
    <w:rsid w:val="00D378C2"/>
    <w:rsid w:val="00D41AD4"/>
    <w:rsid w:val="00D50F8F"/>
    <w:rsid w:val="00D845B0"/>
    <w:rsid w:val="00D855C9"/>
    <w:rsid w:val="00DB400D"/>
    <w:rsid w:val="00DB5891"/>
    <w:rsid w:val="00DB7740"/>
    <w:rsid w:val="00DC3A8A"/>
    <w:rsid w:val="00DD4E45"/>
    <w:rsid w:val="00DE0A86"/>
    <w:rsid w:val="00DF543B"/>
    <w:rsid w:val="00E110D9"/>
    <w:rsid w:val="00E235E3"/>
    <w:rsid w:val="00E32701"/>
    <w:rsid w:val="00E455C3"/>
    <w:rsid w:val="00E47070"/>
    <w:rsid w:val="00E866B5"/>
    <w:rsid w:val="00EA6AD5"/>
    <w:rsid w:val="00EC1B62"/>
    <w:rsid w:val="00F375CB"/>
    <w:rsid w:val="00F40E62"/>
    <w:rsid w:val="00F47198"/>
    <w:rsid w:val="00F86A5C"/>
    <w:rsid w:val="00F95011"/>
    <w:rsid w:val="00FA49D1"/>
    <w:rsid w:val="00FB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2489"/>
  <w15:chartTrackingRefBased/>
  <w15:docId w15:val="{C8AEBC8C-00CA-473B-8249-98AEFEB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980"/>
    <w:pPr>
      <w:spacing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45980"/>
    <w:rPr>
      <w:vertAlign w:val="superscript"/>
    </w:rPr>
  </w:style>
  <w:style w:type="paragraph" w:styleId="NormalWeb">
    <w:name w:val="Normal (Web)"/>
    <w:basedOn w:val="Normal"/>
    <w:uiPriority w:val="99"/>
    <w:semiHidden/>
    <w:unhideWhenUsed/>
    <w:rsid w:val="00686FD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86FD2"/>
    <w:rPr>
      <w:b/>
      <w:bCs/>
    </w:rPr>
  </w:style>
  <w:style w:type="character" w:styleId="CommentReference">
    <w:name w:val="annotation reference"/>
    <w:basedOn w:val="DefaultParagraphFont"/>
    <w:uiPriority w:val="99"/>
    <w:semiHidden/>
    <w:unhideWhenUsed/>
    <w:rsid w:val="00C15A9A"/>
    <w:rPr>
      <w:sz w:val="16"/>
      <w:szCs w:val="16"/>
    </w:rPr>
  </w:style>
  <w:style w:type="paragraph" w:styleId="CommentText">
    <w:name w:val="annotation text"/>
    <w:basedOn w:val="Normal"/>
    <w:link w:val="CommentTextChar"/>
    <w:uiPriority w:val="99"/>
    <w:semiHidden/>
    <w:unhideWhenUsed/>
    <w:rsid w:val="00C15A9A"/>
    <w:rPr>
      <w:sz w:val="20"/>
      <w:szCs w:val="20"/>
    </w:rPr>
  </w:style>
  <w:style w:type="character" w:customStyle="1" w:styleId="CommentTextChar">
    <w:name w:val="Comment Text Char"/>
    <w:basedOn w:val="DefaultParagraphFont"/>
    <w:link w:val="CommentText"/>
    <w:uiPriority w:val="99"/>
    <w:semiHidden/>
    <w:rsid w:val="00C15A9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5A9A"/>
    <w:rPr>
      <w:b/>
      <w:bCs/>
    </w:rPr>
  </w:style>
  <w:style w:type="character" w:customStyle="1" w:styleId="CommentSubjectChar">
    <w:name w:val="Comment Subject Char"/>
    <w:basedOn w:val="CommentTextChar"/>
    <w:link w:val="CommentSubject"/>
    <w:uiPriority w:val="99"/>
    <w:semiHidden/>
    <w:rsid w:val="00C15A9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7543">
      <w:bodyDiv w:val="1"/>
      <w:marLeft w:val="0"/>
      <w:marRight w:val="0"/>
      <w:marTop w:val="0"/>
      <w:marBottom w:val="0"/>
      <w:divBdr>
        <w:top w:val="none" w:sz="0" w:space="0" w:color="auto"/>
        <w:left w:val="none" w:sz="0" w:space="0" w:color="auto"/>
        <w:bottom w:val="none" w:sz="0" w:space="0" w:color="auto"/>
        <w:right w:val="none" w:sz="0" w:space="0" w:color="auto"/>
      </w:divBdr>
    </w:div>
    <w:div w:id="1056467730">
      <w:bodyDiv w:val="1"/>
      <w:marLeft w:val="0"/>
      <w:marRight w:val="0"/>
      <w:marTop w:val="0"/>
      <w:marBottom w:val="0"/>
      <w:divBdr>
        <w:top w:val="none" w:sz="0" w:space="0" w:color="auto"/>
        <w:left w:val="none" w:sz="0" w:space="0" w:color="auto"/>
        <w:bottom w:val="none" w:sz="0" w:space="0" w:color="auto"/>
        <w:right w:val="none" w:sz="0" w:space="0" w:color="auto"/>
      </w:divBdr>
    </w:div>
    <w:div w:id="10852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red.stlouisfed.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hart" Target="charts/chart3.xml"/><Relationship Id="rId17" Type="http://schemas.openxmlformats.org/officeDocument/2006/relationships/hyperlink" Target="https://fred.stlouisfed.org/" TargetMode="External"/><Relationship Id="rId2" Type="http://schemas.openxmlformats.org/officeDocument/2006/relationships/styles" Target="styles.xml"/><Relationship Id="rId16" Type="http://schemas.openxmlformats.org/officeDocument/2006/relationships/hyperlink" Target="https://fred.stlouisfed.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www.eia.gov/electricity/monthly/"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ed.stlouisfed.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022360884134766"/>
          <c:y val="0.13455657492354739"/>
          <c:w val="0.39552760307477286"/>
          <c:h val="0.86544342507645255"/>
        </c:manualLayout>
      </c:layout>
      <c:pieChart>
        <c:varyColors val="1"/>
        <c:ser>
          <c:idx val="0"/>
          <c:order val="0"/>
          <c:tx>
            <c:strRef>
              <c:f>Sheet1!$B$1</c:f>
              <c:strCache>
                <c:ptCount val="1"/>
                <c:pt idx="0">
                  <c:v>Column1</c:v>
                </c:pt>
              </c:strCache>
            </c:strRef>
          </c:tx>
          <c:dPt>
            <c:idx val="0"/>
            <c:bubble3D val="0"/>
            <c:spPr>
              <a:solidFill>
                <a:schemeClr val="accent5">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A46-4F68-AA0D-B362933E860D}"/>
              </c:ext>
            </c:extLst>
          </c:dPt>
          <c:dPt>
            <c:idx val="1"/>
            <c:bubble3D val="0"/>
            <c:spPr>
              <a:solidFill>
                <a:schemeClr val="accent5">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A46-4F68-AA0D-B362933E860D}"/>
              </c:ext>
            </c:extLst>
          </c:dPt>
          <c:dPt>
            <c:idx val="2"/>
            <c:bubble3D val="0"/>
            <c:spPr>
              <a:solidFill>
                <a:schemeClr val="accent5">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A46-4F68-AA0D-B362933E860D}"/>
              </c:ext>
            </c:extLst>
          </c:dPt>
          <c:dPt>
            <c:idx val="3"/>
            <c:bubble3D val="0"/>
            <c:spPr>
              <a:solidFill>
                <a:schemeClr val="accent5">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A46-4F68-AA0D-B362933E860D}"/>
              </c:ext>
            </c:extLst>
          </c:dPt>
          <c:dPt>
            <c:idx val="4"/>
            <c:bubble3D val="0"/>
            <c:spPr>
              <a:solidFill>
                <a:schemeClr val="accent5">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A46-4F68-AA0D-B362933E860D}"/>
              </c:ext>
            </c:extLst>
          </c:dPt>
          <c:dPt>
            <c:idx val="5"/>
            <c:bubble3D val="0"/>
            <c:spPr>
              <a:solidFill>
                <a:schemeClr val="accent5">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A46-4F68-AA0D-B362933E860D}"/>
              </c:ext>
            </c:extLst>
          </c:dPt>
          <c:dLbls>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A46-4F68-AA0D-B362933E860D}"/>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A46-4F68-AA0D-B362933E860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Labor</c:v>
                </c:pt>
                <c:pt idx="1">
                  <c:v>Rent / Lease / Mortgage</c:v>
                </c:pt>
                <c:pt idx="2">
                  <c:v>Electricity</c:v>
                </c:pt>
                <c:pt idx="3">
                  <c:v>Repairs</c:v>
                </c:pt>
                <c:pt idx="4">
                  <c:v>Supplies</c:v>
                </c:pt>
                <c:pt idx="5">
                  <c:v>Other</c:v>
                </c:pt>
              </c:strCache>
            </c:strRef>
          </c:cat>
          <c:val>
            <c:numRef>
              <c:f>Sheet1!$B$2:$B$7</c:f>
              <c:numCache>
                <c:formatCode>General</c:formatCode>
                <c:ptCount val="6"/>
                <c:pt idx="0">
                  <c:v>34</c:v>
                </c:pt>
                <c:pt idx="1">
                  <c:v>45</c:v>
                </c:pt>
                <c:pt idx="2">
                  <c:v>9</c:v>
                </c:pt>
                <c:pt idx="3">
                  <c:v>8</c:v>
                </c:pt>
                <c:pt idx="4">
                  <c:v>3</c:v>
                </c:pt>
                <c:pt idx="5">
                  <c:v>1</c:v>
                </c:pt>
              </c:numCache>
            </c:numRef>
          </c:val>
          <c:extLst>
            <c:ext xmlns:c16="http://schemas.microsoft.com/office/drawing/2014/chart" uri="{C3380CC4-5D6E-409C-BE32-E72D297353CC}">
              <c16:uniqueId val="{0000000C-5A46-4F68-AA0D-B362933E860D}"/>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Bar</c:v>
                </c:pt>
              </c:strCache>
            </c:strRef>
          </c:tx>
          <c:spPr>
            <a:solidFill>
              <a:srgbClr val="2E75B6"/>
            </a:solidFill>
            <a:ln>
              <a:solidFill>
                <a:schemeClr val="tx1"/>
              </a:solidFill>
            </a:ln>
            <a:effectLst/>
          </c:spPr>
          <c:invertIfNegative val="0"/>
          <c:cat>
            <c:strRef>
              <c:f>Sheet1!$A$2:$A$14</c:f>
              <c:strCache>
                <c:ptCount val="13"/>
                <c:pt idx="0">
                  <c:v>Q3 2022</c:v>
                </c:pt>
                <c:pt idx="1">
                  <c:v>Q2 2022</c:v>
                </c:pt>
                <c:pt idx="2">
                  <c:v>Q1 2022</c:v>
                </c:pt>
                <c:pt idx="3">
                  <c:v>Q4 2021</c:v>
                </c:pt>
                <c:pt idx="4">
                  <c:v>Q3 2021</c:v>
                </c:pt>
                <c:pt idx="5">
                  <c:v>Q2 2021</c:v>
                </c:pt>
                <c:pt idx="6">
                  <c:v>Q1 2021</c:v>
                </c:pt>
                <c:pt idx="7">
                  <c:v>Q4 2020</c:v>
                </c:pt>
                <c:pt idx="8">
                  <c:v>Q3 2020</c:v>
                </c:pt>
                <c:pt idx="9">
                  <c:v>Q2 2020</c:v>
                </c:pt>
                <c:pt idx="10">
                  <c:v>Q1 2020</c:v>
                </c:pt>
                <c:pt idx="11">
                  <c:v>Q4 2019</c:v>
                </c:pt>
                <c:pt idx="12">
                  <c:v>Q3 2019</c:v>
                </c:pt>
              </c:strCache>
            </c:strRef>
          </c:cat>
          <c:val>
            <c:numRef>
              <c:f>Sheet1!$B$2:$B$14</c:f>
              <c:numCache>
                <c:formatCode>0.00%</c:formatCode>
                <c:ptCount val="13"/>
                <c:pt idx="0">
                  <c:v>0.15160000000000001</c:v>
                </c:pt>
                <c:pt idx="1">
                  <c:v>0.1138</c:v>
                </c:pt>
                <c:pt idx="2">
                  <c:v>5.96E-2</c:v>
                </c:pt>
                <c:pt idx="3">
                  <c:v>5.6599999999999998E-2</c:v>
                </c:pt>
                <c:pt idx="4">
                  <c:v>4.9299999999999997E-2</c:v>
                </c:pt>
                <c:pt idx="5">
                  <c:v>4.2500000000000003E-2</c:v>
                </c:pt>
                <c:pt idx="6">
                  <c:v>3.7199999999999997E-2</c:v>
                </c:pt>
                <c:pt idx="7">
                  <c:v>3.3599999999999998E-2</c:v>
                </c:pt>
                <c:pt idx="8">
                  <c:v>2.4400000000000002E-2</c:v>
                </c:pt>
                <c:pt idx="9">
                  <c:v>2.06E-2</c:v>
                </c:pt>
                <c:pt idx="10">
                  <c:v>2.9859764889025874E-2</c:v>
                </c:pt>
                <c:pt idx="11">
                  <c:v>3.1120997059759476E-2</c:v>
                </c:pt>
                <c:pt idx="12">
                  <c:v>3.4989983042792612E-2</c:v>
                </c:pt>
              </c:numCache>
            </c:numRef>
          </c:val>
          <c:extLst>
            <c:ext xmlns:c16="http://schemas.microsoft.com/office/drawing/2014/chart" uri="{C3380CC4-5D6E-409C-BE32-E72D297353CC}">
              <c16:uniqueId val="{00000000-E2BF-4923-AD2A-0D1B8A89DA5B}"/>
            </c:ext>
          </c:extLst>
        </c:ser>
        <c:dLbls>
          <c:showLegendKey val="0"/>
          <c:showVal val="0"/>
          <c:showCatName val="0"/>
          <c:showSerName val="0"/>
          <c:showPercent val="0"/>
          <c:showBubbleSize val="0"/>
        </c:dLbls>
        <c:gapWidth val="150"/>
        <c:axId val="1142248112"/>
        <c:axId val="581952448"/>
      </c:barChart>
      <c:lineChart>
        <c:grouping val="standard"/>
        <c:varyColors val="0"/>
        <c:ser>
          <c:idx val="1"/>
          <c:order val="1"/>
          <c:tx>
            <c:strRef>
              <c:f>Sheet1!$C$1</c:f>
              <c:strCache>
                <c:ptCount val="1"/>
                <c:pt idx="0">
                  <c:v>Line</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Q3 2022</c:v>
                </c:pt>
                <c:pt idx="1">
                  <c:v>Q2 2022</c:v>
                </c:pt>
                <c:pt idx="2">
                  <c:v>Q1 2022</c:v>
                </c:pt>
                <c:pt idx="3">
                  <c:v>Q4 2021</c:v>
                </c:pt>
                <c:pt idx="4">
                  <c:v>Q3 2021</c:v>
                </c:pt>
                <c:pt idx="5">
                  <c:v>Q2 2021</c:v>
                </c:pt>
                <c:pt idx="6">
                  <c:v>Q1 2021</c:v>
                </c:pt>
                <c:pt idx="7">
                  <c:v>Q4 2020</c:v>
                </c:pt>
                <c:pt idx="8">
                  <c:v>Q3 2020</c:v>
                </c:pt>
                <c:pt idx="9">
                  <c:v>Q2 2020</c:v>
                </c:pt>
                <c:pt idx="10">
                  <c:v>Q1 2020</c:v>
                </c:pt>
                <c:pt idx="11">
                  <c:v>Q4 2019</c:v>
                </c:pt>
                <c:pt idx="12">
                  <c:v>Q3 2019</c:v>
                </c:pt>
              </c:strCache>
            </c:strRef>
          </c:cat>
          <c:val>
            <c:numRef>
              <c:f>Sheet1!$C$2:$C$14</c:f>
              <c:numCache>
                <c:formatCode>0.00%</c:formatCode>
                <c:ptCount val="13"/>
                <c:pt idx="0">
                  <c:v>0.15160000000000001</c:v>
                </c:pt>
                <c:pt idx="1">
                  <c:v>0.1138</c:v>
                </c:pt>
                <c:pt idx="2">
                  <c:v>5.96E-2</c:v>
                </c:pt>
                <c:pt idx="3">
                  <c:v>5.6599999999999998E-2</c:v>
                </c:pt>
                <c:pt idx="4">
                  <c:v>4.9299999999999997E-2</c:v>
                </c:pt>
                <c:pt idx="5">
                  <c:v>4.2500000000000003E-2</c:v>
                </c:pt>
                <c:pt idx="6">
                  <c:v>3.7199999999999997E-2</c:v>
                </c:pt>
                <c:pt idx="7">
                  <c:v>3.3599999999999998E-2</c:v>
                </c:pt>
                <c:pt idx="8">
                  <c:v>2.4400000000000002E-2</c:v>
                </c:pt>
                <c:pt idx="9">
                  <c:v>2.06E-2</c:v>
                </c:pt>
                <c:pt idx="10">
                  <c:v>2.9859764889025874E-2</c:v>
                </c:pt>
                <c:pt idx="11">
                  <c:v>3.1120997059759476E-2</c:v>
                </c:pt>
                <c:pt idx="12">
                  <c:v>3.4989983042792612E-2</c:v>
                </c:pt>
              </c:numCache>
            </c:numRef>
          </c:val>
          <c:smooth val="0"/>
          <c:extLst>
            <c:ext xmlns:c16="http://schemas.microsoft.com/office/drawing/2014/chart" uri="{C3380CC4-5D6E-409C-BE32-E72D297353CC}">
              <c16:uniqueId val="{00000001-E2BF-4923-AD2A-0D1B8A89DA5B}"/>
            </c:ext>
          </c:extLst>
        </c:ser>
        <c:dLbls>
          <c:showLegendKey val="0"/>
          <c:showVal val="0"/>
          <c:showCatName val="0"/>
          <c:showSerName val="0"/>
          <c:showPercent val="0"/>
          <c:showBubbleSize val="0"/>
        </c:dLbls>
        <c:marker val="1"/>
        <c:smooth val="0"/>
        <c:axId val="1142248112"/>
        <c:axId val="581952448"/>
      </c:lineChart>
      <c:catAx>
        <c:axId val="114224811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952448"/>
        <c:crosses val="autoZero"/>
        <c:auto val="1"/>
        <c:lblAlgn val="ctr"/>
        <c:lblOffset val="100"/>
        <c:noMultiLvlLbl val="0"/>
      </c:catAx>
      <c:valAx>
        <c:axId val="581952448"/>
        <c:scaling>
          <c:orientation val="minMax"/>
        </c:scaling>
        <c:delete val="0"/>
        <c:axPos val="r"/>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24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Rent</c:v>
                </c:pt>
              </c:strCache>
            </c:strRef>
          </c:tx>
          <c:spPr>
            <a:solidFill>
              <a:schemeClr val="accent1">
                <a:shade val="65000"/>
              </a:schemeClr>
            </a:solidFill>
            <a:ln>
              <a:noFill/>
            </a:ln>
            <a:effectLst/>
          </c:spPr>
          <c:invertIfNegative val="0"/>
          <c:cat>
            <c:strRef>
              <c:f>Sheet1!$A$2:$A$20</c:f>
              <c:strCache>
                <c:ptCount val="19"/>
                <c:pt idx="0">
                  <c:v>Q1 2018</c:v>
                </c:pt>
                <c:pt idx="1">
                  <c:v>Q2 2018</c:v>
                </c:pt>
                <c:pt idx="2">
                  <c:v>Q3 2018</c:v>
                </c:pt>
                <c:pt idx="3">
                  <c:v>Q4 2018</c:v>
                </c:pt>
                <c:pt idx="4">
                  <c:v>Q1 2019</c:v>
                </c:pt>
                <c:pt idx="5">
                  <c:v>Q2 2019</c:v>
                </c:pt>
                <c:pt idx="6">
                  <c:v>Q3 2019</c:v>
                </c:pt>
                <c:pt idx="7">
                  <c:v>Q4 2019</c:v>
                </c:pt>
                <c:pt idx="8">
                  <c:v>Q1 2020</c:v>
                </c:pt>
                <c:pt idx="9">
                  <c:v>Q2 2020</c:v>
                </c:pt>
                <c:pt idx="10">
                  <c:v>Q3 2020</c:v>
                </c:pt>
                <c:pt idx="11">
                  <c:v>Q4 2020</c:v>
                </c:pt>
                <c:pt idx="12">
                  <c:v>Q1 2021</c:v>
                </c:pt>
                <c:pt idx="13">
                  <c:v>Q2 2021</c:v>
                </c:pt>
                <c:pt idx="14">
                  <c:v>Q3 2021</c:v>
                </c:pt>
                <c:pt idx="15">
                  <c:v>Q4 2021</c:v>
                </c:pt>
                <c:pt idx="16">
                  <c:v>Q1 2022</c:v>
                </c:pt>
                <c:pt idx="17">
                  <c:v>Q2 2022</c:v>
                </c:pt>
                <c:pt idx="18">
                  <c:v>Q3 2022</c:v>
                </c:pt>
              </c:strCache>
            </c:strRef>
          </c:cat>
          <c:val>
            <c:numRef>
              <c:f>Sheet1!$B$2:$B$20</c:f>
              <c:numCache>
                <c:formatCode>0.00%</c:formatCode>
                <c:ptCount val="19"/>
                <c:pt idx="0">
                  <c:v>3.800967519004838E-2</c:v>
                </c:pt>
                <c:pt idx="1">
                  <c:v>3.5519125683060031E-2</c:v>
                </c:pt>
                <c:pt idx="2">
                  <c:v>2.7628032345013438E-2</c:v>
                </c:pt>
                <c:pt idx="3">
                  <c:v>4.0268456375838924E-2</c:v>
                </c:pt>
                <c:pt idx="4">
                  <c:v>3.5952063914780334E-2</c:v>
                </c:pt>
                <c:pt idx="5">
                  <c:v>5.3430079155672786E-2</c:v>
                </c:pt>
                <c:pt idx="6">
                  <c:v>6.0327868852458943E-2</c:v>
                </c:pt>
                <c:pt idx="7">
                  <c:v>4.5806451612903192E-2</c:v>
                </c:pt>
                <c:pt idx="8">
                  <c:v>4.6915167095115756E-2</c:v>
                </c:pt>
                <c:pt idx="9">
                  <c:v>1.0999999999999999E-2</c:v>
                </c:pt>
                <c:pt idx="10">
                  <c:v>3.5400000000000001E-2</c:v>
                </c:pt>
                <c:pt idx="11">
                  <c:v>5.7000000000000002E-2</c:v>
                </c:pt>
                <c:pt idx="12">
                  <c:v>4.7100000000000003E-2</c:v>
                </c:pt>
                <c:pt idx="13">
                  <c:v>5.3800000000000001E-2</c:v>
                </c:pt>
                <c:pt idx="14">
                  <c:v>3.5999999999999997E-2</c:v>
                </c:pt>
                <c:pt idx="15">
                  <c:v>6.6000000000000003E-2</c:v>
                </c:pt>
                <c:pt idx="16">
                  <c:v>5.91E-2</c:v>
                </c:pt>
                <c:pt idx="17">
                  <c:v>0.1636</c:v>
                </c:pt>
                <c:pt idx="18">
                  <c:v>0.26740000000000003</c:v>
                </c:pt>
              </c:numCache>
            </c:numRef>
          </c:val>
          <c:extLst>
            <c:ext xmlns:c16="http://schemas.microsoft.com/office/drawing/2014/chart" uri="{C3380CC4-5D6E-409C-BE32-E72D297353CC}">
              <c16:uniqueId val="{00000000-14EE-4D0C-8FC7-B8D5195FDD19}"/>
            </c:ext>
          </c:extLst>
        </c:ser>
        <c:ser>
          <c:idx val="1"/>
          <c:order val="1"/>
          <c:tx>
            <c:strRef>
              <c:f>Sheet1!$C$1</c:f>
              <c:strCache>
                <c:ptCount val="1"/>
                <c:pt idx="0">
                  <c:v>Labor</c:v>
                </c:pt>
              </c:strCache>
            </c:strRef>
          </c:tx>
          <c:spPr>
            <a:solidFill>
              <a:schemeClr val="accent1"/>
            </a:solidFill>
            <a:ln>
              <a:noFill/>
            </a:ln>
            <a:effectLst/>
          </c:spPr>
          <c:invertIfNegative val="0"/>
          <c:cat>
            <c:strRef>
              <c:f>Sheet1!$A$2:$A$20</c:f>
              <c:strCache>
                <c:ptCount val="19"/>
                <c:pt idx="0">
                  <c:v>Q1 2018</c:v>
                </c:pt>
                <c:pt idx="1">
                  <c:v>Q2 2018</c:v>
                </c:pt>
                <c:pt idx="2">
                  <c:v>Q3 2018</c:v>
                </c:pt>
                <c:pt idx="3">
                  <c:v>Q4 2018</c:v>
                </c:pt>
                <c:pt idx="4">
                  <c:v>Q1 2019</c:v>
                </c:pt>
                <c:pt idx="5">
                  <c:v>Q2 2019</c:v>
                </c:pt>
                <c:pt idx="6">
                  <c:v>Q3 2019</c:v>
                </c:pt>
                <c:pt idx="7">
                  <c:v>Q4 2019</c:v>
                </c:pt>
                <c:pt idx="8">
                  <c:v>Q1 2020</c:v>
                </c:pt>
                <c:pt idx="9">
                  <c:v>Q2 2020</c:v>
                </c:pt>
                <c:pt idx="10">
                  <c:v>Q3 2020</c:v>
                </c:pt>
                <c:pt idx="11">
                  <c:v>Q4 2020</c:v>
                </c:pt>
                <c:pt idx="12">
                  <c:v>Q1 2021</c:v>
                </c:pt>
                <c:pt idx="13">
                  <c:v>Q2 2021</c:v>
                </c:pt>
                <c:pt idx="14">
                  <c:v>Q3 2021</c:v>
                </c:pt>
                <c:pt idx="15">
                  <c:v>Q4 2021</c:v>
                </c:pt>
                <c:pt idx="16">
                  <c:v>Q1 2022</c:v>
                </c:pt>
                <c:pt idx="17">
                  <c:v>Q2 2022</c:v>
                </c:pt>
                <c:pt idx="18">
                  <c:v>Q3 2022</c:v>
                </c:pt>
              </c:strCache>
            </c:strRef>
          </c:cat>
          <c:val>
            <c:numRef>
              <c:f>Sheet1!$C$2:$C$20</c:f>
              <c:numCache>
                <c:formatCode>0.00%</c:formatCode>
                <c:ptCount val="19"/>
                <c:pt idx="0">
                  <c:v>3.6363636363636452E-2</c:v>
                </c:pt>
                <c:pt idx="1">
                  <c:v>3.5391566265060154E-2</c:v>
                </c:pt>
                <c:pt idx="2">
                  <c:v>3.8002980625931618E-2</c:v>
                </c:pt>
                <c:pt idx="3">
                  <c:v>3.4918276374442919E-2</c:v>
                </c:pt>
                <c:pt idx="4">
                  <c:v>3.4356725146198745E-2</c:v>
                </c:pt>
                <c:pt idx="5">
                  <c:v>3.4181818181818098E-2</c:v>
                </c:pt>
                <c:pt idx="6">
                  <c:v>3.2304379038047379E-2</c:v>
                </c:pt>
                <c:pt idx="7">
                  <c:v>3.9483129935391235E-2</c:v>
                </c:pt>
                <c:pt idx="8">
                  <c:v>3.5335689045936397E-2</c:v>
                </c:pt>
                <c:pt idx="9">
                  <c:v>3.6999999999999998E-2</c:v>
                </c:pt>
                <c:pt idx="10">
                  <c:v>3.0599999999999999E-2</c:v>
                </c:pt>
                <c:pt idx="11">
                  <c:v>3.3099999999999997E-2</c:v>
                </c:pt>
                <c:pt idx="12">
                  <c:v>2.7300000000000001E-2</c:v>
                </c:pt>
                <c:pt idx="13">
                  <c:v>2.5100000000000001E-2</c:v>
                </c:pt>
                <c:pt idx="14">
                  <c:v>3.2399999999999998E-2</c:v>
                </c:pt>
                <c:pt idx="15">
                  <c:v>3.4099999999999998E-2</c:v>
                </c:pt>
                <c:pt idx="16">
                  <c:v>3.85E-2</c:v>
                </c:pt>
                <c:pt idx="17">
                  <c:v>3.9E-2</c:v>
                </c:pt>
                <c:pt idx="18">
                  <c:v>3.5299999999999998E-2</c:v>
                </c:pt>
              </c:numCache>
            </c:numRef>
          </c:val>
          <c:extLst>
            <c:ext xmlns:c16="http://schemas.microsoft.com/office/drawing/2014/chart" uri="{C3380CC4-5D6E-409C-BE32-E72D297353CC}">
              <c16:uniqueId val="{00000001-14EE-4D0C-8FC7-B8D5195FDD19}"/>
            </c:ext>
          </c:extLst>
        </c:ser>
        <c:ser>
          <c:idx val="2"/>
          <c:order val="2"/>
          <c:tx>
            <c:strRef>
              <c:f>Sheet1!$D$1</c:f>
              <c:strCache>
                <c:ptCount val="1"/>
                <c:pt idx="0">
                  <c:v>Electricity</c:v>
                </c:pt>
              </c:strCache>
            </c:strRef>
          </c:tx>
          <c:spPr>
            <a:solidFill>
              <a:schemeClr val="accent1">
                <a:tint val="65000"/>
              </a:schemeClr>
            </a:solidFill>
            <a:ln>
              <a:noFill/>
            </a:ln>
            <a:effectLst/>
          </c:spPr>
          <c:invertIfNegative val="0"/>
          <c:cat>
            <c:strRef>
              <c:f>Sheet1!$A$2:$A$20</c:f>
              <c:strCache>
                <c:ptCount val="19"/>
                <c:pt idx="0">
                  <c:v>Q1 2018</c:v>
                </c:pt>
                <c:pt idx="1">
                  <c:v>Q2 2018</c:v>
                </c:pt>
                <c:pt idx="2">
                  <c:v>Q3 2018</c:v>
                </c:pt>
                <c:pt idx="3">
                  <c:v>Q4 2018</c:v>
                </c:pt>
                <c:pt idx="4">
                  <c:v>Q1 2019</c:v>
                </c:pt>
                <c:pt idx="5">
                  <c:v>Q2 2019</c:v>
                </c:pt>
                <c:pt idx="6">
                  <c:v>Q3 2019</c:v>
                </c:pt>
                <c:pt idx="7">
                  <c:v>Q4 2019</c:v>
                </c:pt>
                <c:pt idx="8">
                  <c:v>Q1 2020</c:v>
                </c:pt>
                <c:pt idx="9">
                  <c:v>Q2 2020</c:v>
                </c:pt>
                <c:pt idx="10">
                  <c:v>Q3 2020</c:v>
                </c:pt>
                <c:pt idx="11">
                  <c:v>Q4 2020</c:v>
                </c:pt>
                <c:pt idx="12">
                  <c:v>Q1 2021</c:v>
                </c:pt>
                <c:pt idx="13">
                  <c:v>Q2 2021</c:v>
                </c:pt>
                <c:pt idx="14">
                  <c:v>Q3 2021</c:v>
                </c:pt>
                <c:pt idx="15">
                  <c:v>Q4 2021</c:v>
                </c:pt>
                <c:pt idx="16">
                  <c:v>Q1 2022</c:v>
                </c:pt>
                <c:pt idx="17">
                  <c:v>Q2 2022</c:v>
                </c:pt>
                <c:pt idx="18">
                  <c:v>Q3 2022</c:v>
                </c:pt>
              </c:strCache>
            </c:strRef>
          </c:cat>
          <c:val>
            <c:numRef>
              <c:f>Sheet1!$D$2:$D$20</c:f>
              <c:numCache>
                <c:formatCode>0.00%</c:formatCode>
                <c:ptCount val="19"/>
                <c:pt idx="0">
                  <c:v>2.5602409638554313E-2</c:v>
                </c:pt>
                <c:pt idx="1">
                  <c:v>0</c:v>
                </c:pt>
                <c:pt idx="2">
                  <c:v>-1.3831258644537714E-3</c:v>
                </c:pt>
                <c:pt idx="3">
                  <c:v>1.1887072808320909E-2</c:v>
                </c:pt>
                <c:pt idx="4">
                  <c:v>-2.05580029368575E-2</c:v>
                </c:pt>
                <c:pt idx="5">
                  <c:v>-2.183406113537123E-2</c:v>
                </c:pt>
                <c:pt idx="6">
                  <c:v>4.1551246537396835E-3</c:v>
                </c:pt>
                <c:pt idx="7">
                  <c:v>-2.2026431718061623E-2</c:v>
                </c:pt>
                <c:pt idx="8">
                  <c:v>-4.3478260869565188E-2</c:v>
                </c:pt>
                <c:pt idx="9">
                  <c:v>-1.4999999999999999E-2</c:v>
                </c:pt>
                <c:pt idx="10">
                  <c:v>-2.2100000000000002E-2</c:v>
                </c:pt>
                <c:pt idx="11">
                  <c:v>-1.9E-2</c:v>
                </c:pt>
                <c:pt idx="12">
                  <c:v>9.8699999999999996E-2</c:v>
                </c:pt>
                <c:pt idx="13">
                  <c:v>9.8199999999999996E-2</c:v>
                </c:pt>
                <c:pt idx="14">
                  <c:v>0.16500000000000001</c:v>
                </c:pt>
                <c:pt idx="15">
                  <c:v>0.11119999999999999</c:v>
                </c:pt>
                <c:pt idx="16">
                  <c:v>5.8500000000000003E-2</c:v>
                </c:pt>
                <c:pt idx="17">
                  <c:v>0.15540000000000001</c:v>
                </c:pt>
                <c:pt idx="18">
                  <c:v>9.6000000000000002E-2</c:v>
                </c:pt>
              </c:numCache>
            </c:numRef>
          </c:val>
          <c:extLst>
            <c:ext xmlns:c16="http://schemas.microsoft.com/office/drawing/2014/chart" uri="{C3380CC4-5D6E-409C-BE32-E72D297353CC}">
              <c16:uniqueId val="{00000002-14EE-4D0C-8FC7-B8D5195FDD19}"/>
            </c:ext>
          </c:extLst>
        </c:ser>
        <c:dLbls>
          <c:showLegendKey val="0"/>
          <c:showVal val="0"/>
          <c:showCatName val="0"/>
          <c:showSerName val="0"/>
          <c:showPercent val="0"/>
          <c:showBubbleSize val="0"/>
        </c:dLbls>
        <c:gapWidth val="219"/>
        <c:overlap val="-27"/>
        <c:axId val="1398367567"/>
        <c:axId val="1299059231"/>
      </c:barChart>
      <c:catAx>
        <c:axId val="139836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059231"/>
        <c:crosses val="autoZero"/>
        <c:auto val="1"/>
        <c:lblAlgn val="ctr"/>
        <c:lblOffset val="100"/>
        <c:noMultiLvlLbl val="0"/>
      </c:catAx>
      <c:valAx>
        <c:axId val="12990592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36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11111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Bahramiabdolmalaki, Shahin</dc:creator>
  <cp:keywords/>
  <dc:description/>
  <cp:lastModifiedBy>Lourdes Bautista</cp:lastModifiedBy>
  <cp:revision>2</cp:revision>
  <cp:lastPrinted>2022-06-01T21:15:00Z</cp:lastPrinted>
  <dcterms:created xsi:type="dcterms:W3CDTF">2023-01-24T19:08:00Z</dcterms:created>
  <dcterms:modified xsi:type="dcterms:W3CDTF">2023-01-24T19:08:00Z</dcterms:modified>
</cp:coreProperties>
</file>